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EF" w:rsidRPr="00657AEF" w:rsidRDefault="00657AEF" w:rsidP="00657AEF">
      <w:pPr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414145"/>
          <w:kern w:val="36"/>
          <w:sz w:val="72"/>
          <w:szCs w:val="48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color w:val="414145"/>
          <w:kern w:val="36"/>
          <w:sz w:val="48"/>
          <w:szCs w:val="36"/>
          <w:lang w:val="en-GB" w:eastAsia="en-GB"/>
        </w:rPr>
        <w:t>Zakon o stažu osiguranja s povećanim trajanjem</w:t>
      </w:r>
    </w:p>
    <w:p w:rsidR="00657AEF" w:rsidRPr="00657AEF" w:rsidRDefault="00657AEF" w:rsidP="00657AEF">
      <w:pPr>
        <w:spacing w:before="90" w:after="9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val="en-GB" w:eastAsia="en-GB"/>
        </w:rPr>
        <w:t>(Narodne novine, br. </w:t>
      </w:r>
      <w:hyperlink r:id="rId8" w:history="1">
        <w:r w:rsidRPr="00657AE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1"/>
            <w:lang w:val="en-GB" w:eastAsia="en-GB"/>
          </w:rPr>
          <w:t>115/18</w:t>
        </w:r>
      </w:hyperlink>
      <w:r w:rsidRPr="00657AEF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val="en-GB" w:eastAsia="en-GB"/>
        </w:rPr>
        <w:t>, </w:t>
      </w:r>
      <w:hyperlink r:id="rId9" w:history="1">
        <w:r w:rsidRPr="00657AE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1"/>
            <w:lang w:val="en-GB" w:eastAsia="en-GB"/>
          </w:rPr>
          <w:t>34/21</w:t>
        </w:r>
      </w:hyperlink>
      <w:r w:rsidRPr="00657AEF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val="en-GB" w:eastAsia="en-GB"/>
        </w:rPr>
        <w:t>)</w:t>
      </w:r>
    </w:p>
    <w:p w:rsidR="00657AEF" w:rsidRPr="00657AEF" w:rsidRDefault="00657AEF" w:rsidP="00657AEF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color w:val="414145"/>
          <w:sz w:val="28"/>
          <w:szCs w:val="21"/>
          <w:lang w:val="en-GB" w:eastAsia="en-GB"/>
        </w:rPr>
      </w:pPr>
    </w:p>
    <w:p w:rsidR="00657AEF" w:rsidRPr="00657AEF" w:rsidRDefault="00657AEF" w:rsidP="00657AEF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I. O</w:t>
      </w:r>
      <w:bookmarkStart w:id="0" w:name="_GoBack"/>
      <w:bookmarkEnd w:id="0"/>
      <w:r w:rsidRPr="00657AEF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PĆE ODREDBE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Osobe koje ostvaruju prava iz obveznoga mirovinskog osiguranja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temelju generacijske solidarnosti prema odredbama općeg propisa o mirovinskom osiguranju i prema odredbama ovoga Zakona su: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osiguranici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zaposleni na osobito teškim i za zdravlje i radnu sposobnost štetnim radnim mjestima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osiguranici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kojima nakon određenih godina života, zbog naravi i težine posla, fiziološke funkcije organizma opadaju u toj mjeri da onemogućavaju daljnje uspješno obavljanje tog posla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3. osiguranici – osobe s invaliditetom: osobe oboljele od distrofije i srodnih mišićnih i neuromišićnih bolesti, oboljeli od paraplegije, cerebralne i dječje paralize, multiple skleroze i srodnih bolesti, slijepe osobe, gluhe osobe, gluhoslijepe osobe, osobe oboljele od reumatoidnog artritisa i drugih sustavnih upalnih bolesti zglobova i vezivnog tkiva (ankilozantni spondilitis, psorijatični artritis, seronegativni artritis, sistemski eritemski lupus, sklerodermija i polimiozitis/dermatomiozitis), osobe kod kojih postoje funkcionalni poremećaji zbog kojih se ne mogu samostalno kretati bez uporabe invalidskih kolica te osobe s Downovim sindromom.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Ovim se Zakonom uređuje sljedeće: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i zanimanja na kojima se staž osiguranja računa s povećanim trajanjem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staž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osiguranja s povećanim trajanjem osiguranika – osoba s invaliditetom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snižavanje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dobne granice za stjecanje prava na starosnu mirovinu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postupak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i vođenje evidencija o radnim mjestima i zanimanjima odnosno osiguranicima kojima se staž osiguranja računa s povećanim trajanjem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nadzor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, financiranje i prekršajne odredbe.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>Članak 3.</w:t>
      </w:r>
      <w:proofErr w:type="gramEnd"/>
      <w:r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Osiguranicima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staž osiguranja računa se s povećanim trajanjem i snižava dobna granica za stjecanje prava na starosnu mirovinu na način i pod uvjetima propisanim ovim Zakonom.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Osiguranicima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računa se staž osiguranja s povećanim trajanjem ako su zaposleni s punim radnim vremenom ili sa skraćenim radnim vremenom, koje se prema općem propisu kojim se uređuju radni odnosi i kolektivnom ugovoru smatra kao zaposlenje s punim radnim vremenom.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(3) Iznimno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stavka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članka, osiguraniku – osobi s invaliditetom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računa se staž osiguranja s povećanim trajanjem i po osnovi zaposlenja s nepunim radnim vremenom.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(4) U slučaju iz stavka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staž osiguranja s povećanim trajanjem računa se tako da se rad s nepunim radnim vremenom preračuna u staž za puno radno vrijeme i staž osiguranja s povećanim trajanjem utvrdi prema ostvarenom stažu osiguranja svedenom na puno radno vrijeme.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(5) Prava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imaju i osiguranici – osobe s invaliditetom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obvezno osigurane na mirovinsko osiguranje na temelju članka 9.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stavka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stavka 3., članka 14.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28.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stavka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Zakona o mirovinskom osiguranju (»Narodne novine«, br. 157/13., 151/14., 33/15., 93/15., 120/16., 18/18.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– Odluka Ustavnog suda Republike Hrvatske, 62/18., 115/18.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102/19.).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Članak 3.a 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Osiguranicima – osobama s invaliditetom iz članka 1.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obvezno osiguranim na mirovinsko osiguranje na temelju članaka 10.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do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15.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Zakona o mirovinskom osiguranju (»Narodne novine«, br. 157/13., 151/14., 33/15., 93/15., 120/16., 18/18.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– Odluka Ustavnog suda Republike Hrvatske, 62/18., 115/18.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102/19.)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računa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se staž osiguranja s povećanim trajanjem na temelju plaćenih doprinosa za mirovinsko osiguranje.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</w:t>
      </w:r>
    </w:p>
    <w:p w:rsidR="00657AEF" w:rsidRPr="00657AEF" w:rsidRDefault="00657AEF" w:rsidP="00657AEF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II. RADNA MJESTA, ZANIMANJA I OSIGURANICI KOJIMA SE STAŽ OSIGURANJA RAČUNA S POVEĆANIM TRAJANJEM</w:t>
      </w:r>
    </w:p>
    <w:p w:rsidR="00657AEF" w:rsidRPr="00657AEF" w:rsidRDefault="00657AEF" w:rsidP="00657AEF">
      <w:pPr>
        <w:spacing w:before="150" w:after="150" w:line="33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>POGLAVLJE I.</w:t>
      </w:r>
      <w:proofErr w:type="gramEnd"/>
      <w:r w:rsidRPr="00657AEF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>   RADNA MJESTA NA KOJIMA SE STAŽ OSIGURANJA RAČUNA S POVEĆANIM TRAJANJEM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 xml:space="preserve">Osobito teška i za zdravlje i radnu sposobnost štetna radna mjesta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kojima se staž osiguranja računa s povećanim trajanjem jesu radna mjesta na kojima postoje štetni utjecaji na zdravstveno stanje i radnu sposobnost zaposlenika, unatoč tome što su primijenjene opće i posebne zaštitne mjere utvrđene propisima o zaštiti na radu.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1.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 U ŽELJEZARAMA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željezarama utvrđuju se radna mjesta talioničara i ljevača u čeličanama.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2.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LJEVAONICAMA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ljevaonicama utvrđuju se: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zaposlenika koji rade na čišćenju odljevaka visećim, stabilnim i ručnim brusilicama, ručnoj izradi kalupa, ručnom istresanju odljevaka te izbijanju jezgara ručno i pneumatskim alatima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zaposlenika koji rade na pripremi i preradi kalupnih mješavina, taljenju, lijevanju, istresanju na istresnoj rešetki te izradi jezgara hladnim postupkom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zaposlenika koji rade na čišćenju odljevaka (osim brušenjem); na poluautomatskoj izradi kalupa; na izradi jezgara toplim postupkom; na vatrostalnom održavanju peći i lonaca za lijevanje i na ručnoj manipulaciji teretom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brigadira u pogonu ljevaonice i čistionice.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3.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PROIZVODNJI STAKLA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proizvodnji stakla utvrđuju se: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zaposlenika koji rade na nabiranju staklene mase i staklopuhača na ručnom oblikovanju staklenih proizvoda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rukovatelja strojevima s najmanje šest sekcija i dvostrukom kapi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zaposlenika koji rade na ručnoj i nemehaniziranoj pripremi i ubacivanju smjese u staklarsku peć.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kao 16 mjeseci.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(3)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radnom mjestu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kao 15 mjeseci.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(4)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4.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POMORSKOJ BRODOGRADNJI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pomorskoj brodogradnji utvrđuju se: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zaposlenika koji rade na čišćenju hrđe i premazivanju brodskih elemenata u brodskom trupu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brodomontera na predmontaži i montaži brodskog trupa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brodoskelara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elektrozavarivača na ručnom elektrozavarivanju i žlijebljenju na predmontaži, montaži i na opremanju brodskog trupa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plinskog rezača (ručno) i ravnača brodskih elemenata na predmontaži i montaži brodskog trupa te na opremanju broda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6.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zaposlenika koji rade s pneumatskim alatima na predmontaži i montaži brodskog trupa te na opremanju broda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7.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brodocjevara i brodokotlara na brodu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8.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brodoizolatera na brodu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9.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brodoličioca na brodu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10.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brodobravara – limara na brodu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strojomontera na brodu.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>ODJELJAK 5.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PROIZVODNJI NAFTE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proizvodnji nafte utvrđuju se: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klinaša na bušenju i klinaša na remontu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tornjaša na bušenju i tornjaša na remontu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vođe smjene i pomoćnika vođe smjene na bušenju i remontu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motorista na bušenju.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kao 15 mjeseci.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(3)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6.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PROIZVODNJI KOMPLEKSNIH DUŠIČNO-FOSFORNO-KALIJEVIH (NPK) UMJETNIH GNOJIVA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10.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proizvodnji kompleksnih dušično-fosforno-kalijevih (NPK) umjetnih gnojiva utvrđuju se radna mjesta rukovatelja reaktorom i pomoćnika rukovatelja reaktorom.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7.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PROIZVODNJI GRAĐEVNOG MATERIJALA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teško i za zdravlje i radnu sposobnost štetno radno mjesto u proizvodnji građevnog materijala utvrđuje se radno mjesto pekača klinkera.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radnom mjestu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8.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GRAĐEVINARSTVU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 xml:space="preserve">(1) Kao osobito teška i za zdravlje i radnu sposobnost štetna radna mjesta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probijanju tunela utvrđuju se radna mjesta bušača, minera – palitelja mina, utovarivača i pomoćnih zaposlenika koji na radovima u tunelu provedu najmanje 80 % stvarnog radnog vremena tijekom godine.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13.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Kao osobito teško i za zdravlje i radnu sposobnost štetno radno mjesto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gradnji i održavanju dalekovoda utvrđuje se radno mjesto visinskog montera na izgradnji i/ili održavanju dalekovoda napona 110 kV i više.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radnom mjestu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15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9.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GEOLOŠKIM I RUDARSKIM ISTRAŽIVANJIMA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14.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geološkim i rudarskim istraživanjima utvrđuju se radna mjesta bušača istražnog bušenja i bušača injektirca.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10.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PROMETU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15.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željezničkom prometu utvrđuju se: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strojovođe električnih vučnih i dizelskih vučnih vozila za prugu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rukovatelja manevre i manevrista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prometnika vlakova u ranžirnim (ranžirno-rasporednim) stanicama s obujmom rada većim od 250 kola prerađenih prema tipu I. i II.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u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jednoj turnusnoj smjeni prosječno tijekom godine i brojem vlakova u dolazu, (prolazu), odlazu većim od 32 vlaka u jednoj turnusnoj smjeni prosječno tijekom godine, kao i u rasporednim stanicama s preradom kola prema tipu I. i/ili II.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u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kojima u jednoj turnusnoj smjeni prosječno tijekom godine prođe više od 160 vlakova (u odlazu/dolazu/prolazu)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prometnika vlakova koji regulira promet s postavnice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 xml:space="preserve">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strojovođe na manevarki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6.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pomoćnika strojovođe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7.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prometnika vlakova u stanicama kroz koje prođu 32 i više vlakova u jednoj turnusnoj smjeni prosječno tijekom godine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8.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pregledača vagona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9.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skretničara koji neposredno (ručno na licu mjesta) rukuje skretnicama u stanicama s 32 i više vlakova u jednoj turnusnoj smjeni zaposlenika prosječno tijekom godine.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radnom mjestu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16 mjeseci.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(3)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do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9.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(4) Pod postavnicom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podrazumijeva se poseban objekt ili dio objekta za smještaj logike signalno-sigurnosnog uređaja stanice i signalno-komandnog stola putem kojega otpremnici vlakova na postavnici reguliraju kretanje vlakova i manevarsku vožnju.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(5) Osnova za utvrđivanje broja vlakova je prosječan broj vlakova iz vrijedećih voznih redova u kalendarskoj godini, a za utvrđivanje broja prerađenih kola prema tipu I. i II.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služi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službena dokumentacija o broju ostvarene prerade kola prema tipu I. i II.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u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određenoj stanici tijekom iste godine.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(6) Broj vlakova utvrđuje se tako da se jedan dolazak vlaka u stanicu, kao krajnju stanicu vlaka, računa kao dva vlaka, jedan odlazak vlaka iz stanice kao polazne stanice vlaka računa se kao dva vlaka, jedan prolazak vlaka koji se u stanici zaustavlja kao jedan vlak, jedan prolazak vlaka kroz stanicu bez zaustavljanja kao jedan vlak.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(7) Osnova za utvrđivanje broja vlakova je vozni red za proteklu kalendarsku godinu.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16.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cestovnom prometu utvrđuju se: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vozača teretnog vozila nosivosti jednake ili veće od 7,5 tona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vozača autobusa u redovitom javnom međugradskom prijevozu putnika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vozača tramvaja i vozača autobusa u gradskom prometu.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11.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KOMUNALNOJ DJELATNOSTI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17.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Kao osobito teško i za zdravlje i radnu sposobnost štetno radno mjesto u komunalnoj djelatnosti utvrđuje se radno mjesto dimnjačara koji radi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čišćenju štednjaka po stanovima, dimnjaka na kosim i ravnim krovovima, vađenju čađe iz dimnjaka i čišćenju ložišta centralnog grijanja.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radnom mjestu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12.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ŠUMARSTVU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18.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teško i za zdravlje i radnu sposobnost štetno radno mjesto u šumarstvu utvrđuje se radno mjesto šumskog sjekača.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radnom mjestu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16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13.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POMORSKOM RIBARSTVU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19.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teško i za zdravlje i radnu sposobnost štetno radno mjesto u pomorskom ribarstvu utvrđuje se radno mjesto profesionalnog ribara.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radnom mjestu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15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14.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TEKSTILNOJ INDUSTRIJI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20.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tekstilnoj industriji utvrđuju se: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tkalca na tkalačkim strojevima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poslužitelja stroja za vlačenje vlakana.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>ODJELJAK 15.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NA POSLOVIMA MONTAŽE INDUSTRIJSKIH POSTROJENJA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21.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Kao osobito teška i za zdravlje i radnu sposobnost štetna radna mjesta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poslovima montaže industrijskih postrojenja utvrđuju se: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bravara i zavarivača na izgradnji industrijskih postrojenja u trgovačkim društvima kojima je ta djelatnost registrirana na trgovačkom sudu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visinskog elektrozavarivača i visinskog plinskog zavarivača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visinskog bravara montažera.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15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16.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PROIZVODNJI KAMENE VUNE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22.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Kao osobito teško i za zdravlje i radnu sposobnost štetno radno mjesto u proizvodnji kamene vune utvrđuje se radno mjesto talioničara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kupolnim pećima u stalnom postupku lijevanja.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radnom mjestu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ODJELJAK 17.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  U KAMENOLOMU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23.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Kao osobito teška i za zdravlje i radnu sposobnost štetna radna mjesta u kamenolomu utvrđuju se: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bušača na ručnom bušenju te bušenju na lafetnoj i dubinskoj bušilici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mjesta kamenoresca, klesara, vezača i pomoćnog zaposlenika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mjesto rukovatelja utovarivača.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14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POGLAVLJE II.   ZANIMANJA NA KOJIMA SE STAŽ OSIGURANJA RAČUNA S POVEĆANIM TRAJANJEM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>Članak 24.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Utvrđuju se zanimanja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kojima fiziološke funkcije organizma nakon određenih godina života opadaju u toj mjeri da onemogućavaju uspješno obavljanje poslova zanimanja na sljedećim radnim mjestima: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plesač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klasičnog baleta, plesač suvremenog plesa, baletni majstor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operni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pjevač – solist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plesač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– pjevač u profesionalnim ansamblima narodnih plesova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pilot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aviona i pilot helikoptera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nastavnik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motornog letenja i zrakoplovnog jedriličarstva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6.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nastavnik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padobranstva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7.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radiotelegrafist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(letač), navigator leta i zrakoplovni mehaničar (letač)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8.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ronilac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, ronilac spužvi i koralja i nastavnik ronjenja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9.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dimnjačar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i dimnjačar majstor (čišćenje visokih tvorničkih dimnjaka)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10.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kontrolor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zračnog prometa s važećim ovlaštenjem za oblasnu nadzornu kontrolu, kontrolor zračnog prometa s važećim ovlaštenjem za oblasnu proceduralnu kontrolu, kontrolor zračnog prometa s važećim ovlaštenjem za prilaznu nadzornu kontrolu i kontrolor zračnog prometa s važećim ovlaštenjem za proceduralnu nadzornu kontrolu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kontrolor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zračnog prometa s važećim ovlaštenjem za aerodromsku vizualnu kontrolu i kontrolor zračnog prometa s važećim ovlaštenjem za aerodromsku instrumentalnu kontrolu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voditelj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kabinske posade zrakoplova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kabinske posade zrakoplova.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do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8.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18 mjeseci.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(3)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9.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10.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16 mjeseci.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(4) Svakih 12 mjeseci provedenih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do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računa se u staž osiguranja kao 15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</w:t>
      </w:r>
    </w:p>
    <w:p w:rsidR="00657AEF" w:rsidRPr="00657AEF" w:rsidRDefault="00657AEF" w:rsidP="00657AEF">
      <w:pPr>
        <w:spacing w:before="150" w:after="0" w:line="40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  <w:lastRenderedPageBreak/>
        <w:t>POGLAVLJE III.   POSTUPAK UTVRĐIVANJA ODNOSNO UKIDANJA RADNIH MJESTA I ZANIMANJA NA KOJIMA SE STAŽ OSIGURANJA RAČUNA S POVEĆANIM TRAJANJEM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25.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Poticaj za utvrđivanje odnosno ukidanje radnih mjesta i zanimanja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kojima se staž osiguranja računa s povećanim trajanjem prema ovom Zakonu može dati poslodavac ili sindikat na temelju stručne dokumentacije izrađene prema metodologiji koja je propisana pravilnikom iz stavka 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Podnositelj poticaja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dužan je priložiti stručnu dokumentaciju.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(3) Stručna dokumentacija izrađena prema metodologiji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dostavlja se ministarstvu nadležnom za mirovinski sustav koje pribavlja mišljenje specijaliziranih znanstvenih ili stručnih ustanova.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(4) Troškove izrade stručne dokumentacije snosi podnositelj poticaja.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(5) Pravilnik o metodologiji izrade stručne dokumentacije radi utvrđivanja staža osiguranja s povećanim trajanjem propisuje ministar nadležan za mirovinski sustav.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</w:t>
      </w:r>
    </w:p>
    <w:p w:rsidR="00657AEF" w:rsidRPr="00657AEF" w:rsidRDefault="00657AEF" w:rsidP="00657AEF">
      <w:pPr>
        <w:spacing w:before="150" w:after="0" w:line="40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  <w:t>POGLAVLJE IV.   OSIGURANICI KOJIMA SE STAŽ OSIGURANJA RAČUNA S POVEĆANIM TRAJANJEM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26.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Staž osiguranja s povećanim trajanjem računa se osiguranicima – osobama s invaliditetom: osobama oboljelim od distrofije i srodnih mišićnih i neuromišićnih bolesti, oboljelima od paraplegije, cerebralne i dječje paralize, multiple skleroze i srodnih bolesti, slijepim osobama, gluhim osobama, gluhoslijepim osobama, osobama oboljelim od reumatoidnog artritisa i drugih sustavnih upalnih bolesti zglobova i vezivnog tkiva (ankilozantni spondilitis, psorijatični artritis, seronegativni artritis, sistemski eritemski lupus, sklerodermija i polimiozitis/dermatomiozitis), osobama kod kojih postoje funkcionalni poremećaji zbog kojih se ne mogu samostalno kretati bez uporabe invalidskih kolica te osobama s Downovim sindromom.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Svojstvo osiguranika – osobe s invaliditetom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članka, ako im zdravstveno stanje uzrokuje trajne posljedice za život i rad, utvrđuje se rješenjem Hrvatskog zavoda za mirovinsko osiguranje (u daljnjem tekstu: Zavod) na temelju nalaza i mišljenja Zavoda za vještačenje, profesionalnu rehabilitaciju i zapošljavanje osoba s invaliditetom prema odredbama općeg propisa o mirovinskom osiguranju na zahtjev osiguranika – osobe s invaliditetom.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 xml:space="preserve">(3) Osiguranicima – osobama s invaliditetom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svakih 12 mjeseci staža osiguranja računa se kao 15 mjeseci.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</w:t>
      </w:r>
    </w:p>
    <w:p w:rsidR="00657AEF" w:rsidRPr="00657AEF" w:rsidRDefault="00657AEF" w:rsidP="00657AEF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III. SNIŽAVANJE DOBNE GRANICE ZA STJECANJE PRAVA NA STAROSNU MIROVINU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27.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Snižavanje dobne granice za stjecanje prava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starosnu mirovinu ovisi o dužini razdoblja za koje se staž osiguranja računa s povećanim trajanjem i stupnju povećanja staža osiguranja.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Osiguranicima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Zakona, kao i osiguranicima kojima se staž osiguranja računa s povećanim trajanjem prema posebnim propisima, ako posebnim propisom nije uređeno sniženje dobne granice, snižava se dobna granica za stjecanje prava na starosnu mirovinu iz članka 33.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180.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Zakona o mirovinskom osiguranju (»Narodne novine«, br. 157/13., 33/15., 120/16., 18/18.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– Odluka Ustavnog suda Republike Hrvatske i 62/18.), i to: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jednu godinu za svakih šest godina za radna mjesta odnosno zanimanja na kojima se staž osiguranja računa 12 mjeseci kao 14 mjeseci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jednu godinu za svakih pet godina za radna mjesta odnosno zanimanja na kojima se staž osiguranja računa 12 mjeseci kao 15 mjeseci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jednu godinu za svake četiri godine za radna mjesta odnosno zanimanja na kojima se staž osiguranja računa 12 mjeseci kao 16 mjeseci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jednu godinu za svake tri godine za radna mjesta odnosno zanimanja na kojima se staž osiguranja računa 12 mjeseci kao 18 mjeseci.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(3) Osiguranicima – osobama s invaliditetom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snižava se dobna granica za stjecanje prava na starosnu mirovinu iz članka 33.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180.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Zakona o mirovinskom osiguranju (»Narodne novine«, br. 157/13., 33/15., 120/16., 18/18.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– Odluka Ustavnog suda Republike Hrvatske i 62/18.)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po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jednu godinu za svakih pet godina provedenih u osiguranju koje se računa 12 mjeseci kao 15 mjeseci.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(4) Osiguranicima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Zakona, kao i osiguranicima kojima se staž osiguranja računa s povećanim trajanjem prema posebnim propisima, koji su ostvarili staž osiguranja s povećanim trajanjem s različitim stupnjevima povećanja, dobna granica za stjecanje prava na starosnu mirovinu prema članku 33.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odnosno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članku 180.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Zakona o mirovinskom osiguranju (»Narodne novine«, br. 157/13., 33/15., </w:t>
      </w: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>120/16., 18/18.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– Odluka Ustavnog suda Republike Hrvatske i 62/18.)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snižava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se prema stavku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članka, a za preostalo razdoblje provedeno na radnim mjestima i u zanimanjima iz članaka 5. – 24.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za koje dobna granica nije snižena prema pojedinom stupnju povećanja osiguraniku se dobna granica snižava prema najnižem stupnju povećanja staža osiguranja koji je pojedini osiguranik ostvario, u skladu sa stavkom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(5) Ako osiguranik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točaka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Zakona, kao i osiguranik kojemu se staž osiguranja računa s povećanim trajanjem prema posebnim propisima ne ispunjava uvjete iz stavka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za sniženje dobne granice prema pojedinom stupnju povećanja radeći na poslovima i u zanimanjima s različitim stupnjem povećanja staža osiguranja ispunjava potreban broj punih godina efektivno provedenih na tim poslovima za sniženje starosne granice s najnižim stupnjem povećanja, dobna granica za stjecanje prava na starosnu mirovinu iz članka 33.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180.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Zakona o mirovinskom osiguranju (»Narodne novine«, br. 157/13., 33/15., 120/16., 18/18.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– Odluka Ustavnog suda Republike Hrvatske i 62/18.)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određuje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se snižavanjem dobne granice prema najnižem stupnju povećanja staža osiguranja koji je osiguranik u tom razdoblju ostvario, u skladu sa stavkom 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</w:t>
      </w:r>
    </w:p>
    <w:p w:rsidR="00657AEF" w:rsidRPr="00657AEF" w:rsidRDefault="00657AEF" w:rsidP="00657AEF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IV. POSTUPAK I EVIDENCIJE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28.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U postupku rješavanja o pravima osiguranika iz ovoga Zakona primjenjuju se odredbe općeg propisa o mirovinskom osiguranju, ako ovim Zakonom nije drukčije određeno.</w:t>
      </w:r>
      <w:proofErr w:type="gramEnd"/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29.</w:t>
      </w:r>
      <w:proofErr w:type="gramEnd"/>
      <w:r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Evidenciju o radnim mjestima odnosno zanimanjima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kojima se staž osiguranja računa s povećanim trajanjem i evidenciju o osiguranicima kojima se staž osiguranja računa s povećanim trajanjem vodi Zavod, na način i po postupku propisanom općim aktom toga Zavoda.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Poslodavac je dužan inspektoru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ili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državnom službeniku nadležnom u skladu s posebnim propisom omogućiti uvid u dokumentaciju radi provjere podataka o osiguranicima i radnim mjestima odnosno zanimanjima na kojima se staž osiguranja računa s povećanim trajanjem te o osiguranicima – osobama s invaliditetom iz članka 26.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(3) Poslodavac je dužan prijaviti Zavodu početak, promjenu i prestanak rada osiguranika koji rade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radnim mjestima iz članaka 5. – 23.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i u zanimanjima iz članka 24.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Zakona, kao i osiguranika – osobe s invaliditetom iz članka 26.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Zakona, u rokovima propisanima općim propisom o mirovinskom osiguranju.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lastRenderedPageBreak/>
        <w:t xml:space="preserve">(4) Obveznici podnošenja prijava za vođenje matične evidencije propisanih općim aktom Zavoda za osiguranike iz članka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stavka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3.a ovoga Zakona dužni su prijaviti Zavodu podatak o utvrđenom statusu osiguranika – osobe s invaliditetom iz članka 26.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i sve promjene u rokovima propisanim općim propisom o mirovinskom osiguranju.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</w:t>
      </w:r>
    </w:p>
    <w:p w:rsidR="00657AEF" w:rsidRPr="00657AEF" w:rsidRDefault="00657AEF" w:rsidP="00657AEF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V. NADZOR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30.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Upravni nadzor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nad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primjenom ovoga Zakona provodi ministarstvo nadležno za mirovinski sustav.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Inspekcijski nadzor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nad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primjenom odredbi ovoga Zakona koje se odnose na obvezu prijave početka rada, promjena odnosno prestanka rada osiguranika na radnim mjestima odnosno zanimanjima na kojima se staž osiguranja računa s povećanim trajanjem obavljaju inspektori i drugi ovlašteni državni službenici tijela državne uprave, svaki u okviru svoje nadležnosti, sukladno posebnim propisima.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</w:t>
      </w:r>
    </w:p>
    <w:p w:rsidR="00657AEF" w:rsidRPr="00657AEF" w:rsidRDefault="00657AEF" w:rsidP="00657AEF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VI. PREKRŠAJNE ODREDBE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31.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(1) Poslodavac pravna osoba kaznit će se za prekršaj novčanom kaznom u iznosu od 5000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,00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do 50.000,00 kuna, i to: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ako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ne omogući uvid u dokumentaciju radi provjere podataka o osiguranicima i radnim mjestima odnosno zanimanjima na kojima se staž osiguranja računa s povećanim trajanjem (članak 29. stavak 2.)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ako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ne prijavi početak, promjenu odnosno prestanak rada osiguranika na radnim mjestima odnosno zanimanjima na kojima se staž osiguranja računa s povećanim trajanjem odnosno osiguranika – osobe s invaliditetom iz članka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točke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Zakona, u propisanim rokovima (članak 29. stavak 3.).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(2) Novčanom kaznom u iznosu od 5000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,00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do 50.000,00 kuna za prekršaj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kaznit će se i poslodavac fizička osoba.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(3) Za prekršaj iz stavka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 kaznit će se i odgovorna osoba kod poslodavca pravne osobe novčanom kaznom u iznosu od 1000,00 do 10.000,00 kuna.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 </w:t>
      </w:r>
    </w:p>
    <w:p w:rsidR="00657AEF" w:rsidRPr="00657AEF" w:rsidRDefault="00657AEF" w:rsidP="00657AEF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lastRenderedPageBreak/>
        <w:t>VII. PRIJELAZNE I ZAVRŠNE ODREDBE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32.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Za snižavanje dobne granice za stjecanje prava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starosnu mirovinu prema članku 27.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uzima se u obzir i staž osiguranja s povećanim trajanjem navršen prema propisima koji su važili do dana stupanja na snagu ovoga Zakona.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Osiguranicima kojima se prema posebnom zakonu staž osiguranja računa s povećanim trajanjem, 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tim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zakonom nije uređeno snižavanje dobne granice, dobna granica za stjecanje prava na starosnu mirovinu snižava se prema članku 27.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i stavku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članka.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33.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(1) Pravilnik iz članka 25.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stavka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donijet će ministar nadležan za mirovinski sustav u roku od 60 dana od dana stupanja na snagu ovoga Zakona.</w:t>
      </w:r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(2) Do stupanja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snagu pravilnika iz članka 25.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stavka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5.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Zakona primjenjuje se Pravilnik o metodologiji izrade stručne dokumentacije radi utvrđivanja staža osiguranja s povećanim trajanjem (»Narodne novine«, br. 45/00.).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34.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Danom stupanja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snagu ovoga Zakona prestaje važiti Zakon o stažu osiguranja s povećanim trajanjem (»Narodne novine«, br. 71/99., 46/07., 41/08.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61/11.).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35.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Ovaj Zakon objavit će se u »Narodnim novinama«, a stupa na snagu 1.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siječnja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2019.</w:t>
      </w:r>
    </w:p>
    <w:p w:rsidR="00657AEF" w:rsidRPr="00657AEF" w:rsidRDefault="00657AEF" w:rsidP="00657AEF">
      <w:pPr>
        <w:spacing w:before="150" w:after="150" w:line="33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</w:pPr>
      <w:r w:rsidRPr="00657AEF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>Prijelazne i završne odredbe iz NN 34/21</w:t>
      </w:r>
    </w:p>
    <w:p w:rsidR="00657AEF" w:rsidRPr="00657AEF" w:rsidRDefault="00657AEF" w:rsidP="00657AEF">
      <w:pPr>
        <w:spacing w:after="135" w:line="403" w:lineRule="atLeast"/>
        <w:jc w:val="center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657AEF" w:rsidRPr="00657AEF" w:rsidRDefault="00657AEF" w:rsidP="00657AEF">
      <w:pPr>
        <w:spacing w:after="135" w:line="403" w:lineRule="atLeast"/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</w:pPr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Ovaj Zakon stupa </w:t>
      </w:r>
      <w:proofErr w:type="gramStart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657AEF">
        <w:rPr>
          <w:rFonts w:ascii="Times New Roman" w:eastAsia="Times New Roman" w:hAnsi="Times New Roman" w:cs="Times New Roman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D1" w:rsidRDefault="00952BD1" w:rsidP="00657AEF">
      <w:pPr>
        <w:spacing w:after="0" w:line="240" w:lineRule="auto"/>
      </w:pPr>
      <w:r>
        <w:separator/>
      </w:r>
    </w:p>
  </w:endnote>
  <w:endnote w:type="continuationSeparator" w:id="0">
    <w:p w:rsidR="00952BD1" w:rsidRDefault="00952BD1" w:rsidP="0065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D1" w:rsidRDefault="00952BD1" w:rsidP="00657AEF">
      <w:pPr>
        <w:spacing w:after="0" w:line="240" w:lineRule="auto"/>
      </w:pPr>
      <w:r>
        <w:separator/>
      </w:r>
    </w:p>
  </w:footnote>
  <w:footnote w:type="continuationSeparator" w:id="0">
    <w:p w:rsidR="00952BD1" w:rsidRDefault="00952BD1" w:rsidP="0065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507B"/>
    <w:multiLevelType w:val="multilevel"/>
    <w:tmpl w:val="AF70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C18CA"/>
    <w:multiLevelType w:val="multilevel"/>
    <w:tmpl w:val="6C1E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76C2A"/>
    <w:multiLevelType w:val="multilevel"/>
    <w:tmpl w:val="AEC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EF"/>
    <w:rsid w:val="00657AEF"/>
    <w:rsid w:val="00952BD1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EF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5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AE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5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AEF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EF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5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AE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5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AEF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9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40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658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884899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53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880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9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7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4132</Words>
  <Characters>23556</Characters>
  <Application>Microsoft Office Word</Application>
  <DocSecurity>0</DocSecurity>
  <Lines>196</Lines>
  <Paragraphs>55</Paragraphs>
  <ScaleCrop>false</ScaleCrop>
  <Company/>
  <LinksUpToDate>false</LinksUpToDate>
  <CharactersWithSpaces>27633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2024-11-26T11:27:00Z</dcterms:created>
  <dcterms:modified xsi:type="dcterms:W3CDTF">2024-11-26T11:29:00Z</dcterms:modified>
</cp:coreProperties>
</file>