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4B" w:rsidRPr="00047F4B" w:rsidRDefault="00047F4B" w:rsidP="00047F4B">
      <w:pPr>
        <w:spacing w:after="1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GB" w:eastAsia="en-GB"/>
        </w:rPr>
      </w:pPr>
      <w:proofErr w:type="spellStart"/>
      <w:r w:rsidRPr="00047F4B"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GB" w:eastAsia="en-GB"/>
        </w:rPr>
        <w:t>Zakon</w:t>
      </w:r>
      <w:proofErr w:type="spellEnd"/>
      <w:r w:rsidRPr="00047F4B"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GB" w:eastAsia="en-GB"/>
        </w:rPr>
        <w:t xml:space="preserve"> o </w:t>
      </w:r>
      <w:proofErr w:type="spellStart"/>
      <w:r w:rsidRPr="00047F4B"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GB" w:eastAsia="en-GB"/>
        </w:rPr>
        <w:t>listi</w:t>
      </w:r>
      <w:proofErr w:type="spellEnd"/>
      <w:r w:rsidRPr="00047F4B"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GB" w:eastAsia="en-GB"/>
        </w:rPr>
        <w:t>profesionalnih</w:t>
      </w:r>
      <w:proofErr w:type="spellEnd"/>
      <w:r w:rsidRPr="00047F4B"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GB" w:eastAsia="en-GB"/>
        </w:rPr>
        <w:t>bolesti</w:t>
      </w:r>
      <w:proofErr w:type="spellEnd"/>
    </w:p>
    <w:p w:rsidR="00047F4B" w:rsidRPr="00047F4B" w:rsidRDefault="00047F4B" w:rsidP="00047F4B">
      <w:pPr>
        <w:spacing w:before="90" w:after="9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</w:pPr>
      <w:r w:rsidRPr="00047F4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>(</w:t>
      </w:r>
      <w:proofErr w:type="spellStart"/>
      <w:r w:rsidRPr="00047F4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>Narodne</w:t>
      </w:r>
      <w:proofErr w:type="spellEnd"/>
      <w:r w:rsidRPr="00047F4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>novine</w:t>
      </w:r>
      <w:proofErr w:type="spellEnd"/>
      <w:r w:rsidRPr="00047F4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>, br. </w:t>
      </w:r>
      <w:bookmarkStart w:id="0" w:name="_GoBack"/>
      <w:r w:rsidRPr="00047F4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fldChar w:fldCharType="begin"/>
      </w:r>
      <w:r w:rsidRPr="00047F4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instrText xml:space="preserve"> HYPERLINK "https://www.zakon.hr/cms.htm?id=35563" </w:instrText>
      </w:r>
      <w:r w:rsidRPr="00047F4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fldChar w:fldCharType="separate"/>
      </w:r>
      <w:r w:rsidRPr="00047F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en-GB" w:eastAsia="en-GB"/>
        </w:rPr>
        <w:t>162/98</w:t>
      </w:r>
      <w:r w:rsidRPr="00047F4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fldChar w:fldCharType="end"/>
      </w:r>
      <w:r w:rsidRPr="00047F4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>, </w:t>
      </w:r>
      <w:hyperlink r:id="rId6" w:history="1">
        <w:r w:rsidRPr="00047F4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4"/>
            <w:lang w:val="en-GB" w:eastAsia="en-GB"/>
          </w:rPr>
          <w:t>107/07</w:t>
        </w:r>
      </w:hyperlink>
      <w:bookmarkEnd w:id="0"/>
      <w:r w:rsidRPr="00047F4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>)</w:t>
      </w:r>
    </w:p>
    <w:p w:rsidR="00047F4B" w:rsidRDefault="00047F4B" w:rsidP="00047F4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047F4B" w:rsidRPr="00047F4B" w:rsidRDefault="00047F4B" w:rsidP="00047F4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047F4B" w:rsidRPr="00047F4B" w:rsidRDefault="00047F4B" w:rsidP="00047F4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1.</w:t>
      </w:r>
      <w:proofErr w:type="gramEnd"/>
    </w:p>
    <w:p w:rsidR="00047F4B" w:rsidRPr="00047F4B" w:rsidRDefault="00047F4B" w:rsidP="00047F4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Ovim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Zakonom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utvrđuju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bolesti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se,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prema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članku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38.</w:t>
      </w:r>
      <w:proofErr w:type="gram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stavku</w:t>
      </w:r>
      <w:proofErr w:type="spellEnd"/>
      <w:proofErr w:type="gram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1.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Zakona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mirovinskom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osiguranju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(u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daljnjem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tekstu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ZOMO),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smatraju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profesionalnim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bolestima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uvjeti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pod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kojima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proofErr w:type="gram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bolesti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smatraju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profesionalnim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bolestima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047F4B" w:rsidRPr="00047F4B" w:rsidRDefault="00047F4B" w:rsidP="00047F4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2.</w:t>
      </w:r>
      <w:proofErr w:type="gramEnd"/>
    </w:p>
    <w:p w:rsidR="00047F4B" w:rsidRPr="00047F4B" w:rsidRDefault="00047F4B" w:rsidP="00047F4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Profesionalnom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bolešću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smatra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bolest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dokaže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da je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posljedica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djelovanja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štetnosti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procesu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rada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radnom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okolišu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odnosno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bolest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poznato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da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može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posljedica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djelovanja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štetnosti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svezi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procesom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rada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radnim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okolišem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a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intenzitet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štetnosti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duljina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trajanja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izloženosti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toj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štetnosti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razini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poznato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da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uzrokuje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oštećenje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zdravlja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047F4B" w:rsidRPr="00047F4B" w:rsidRDefault="00047F4B" w:rsidP="00047F4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Profesionalne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bolesti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1. </w:t>
      </w: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spellEnd"/>
      <w:proofErr w:type="gram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članka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dokazuju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pomoću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medicini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rada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prihvaćenih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obrade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algoritama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), a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dijagnostički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postupak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obuhvaća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:rsidR="00047F4B" w:rsidRPr="00047F4B" w:rsidRDefault="00047F4B" w:rsidP="00047F4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1) </w:t>
      </w: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radnu</w:t>
      </w:r>
      <w:proofErr w:type="spellEnd"/>
      <w:proofErr w:type="gram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anamnezu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dokazivanje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povezanosti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bolesti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izloženosti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radu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:rsidR="00047F4B" w:rsidRPr="00047F4B" w:rsidRDefault="00047F4B" w:rsidP="00047F4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2) </w:t>
      </w: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kliničku</w:t>
      </w:r>
      <w:proofErr w:type="spellEnd"/>
      <w:proofErr w:type="gram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sliku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pojavom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oštećenja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funkcije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morfologije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organa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organskih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sustava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poznato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da je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određena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radna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štetnost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može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uzrokovati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</w:p>
    <w:p w:rsidR="00047F4B" w:rsidRPr="00047F4B" w:rsidRDefault="00047F4B" w:rsidP="00047F4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3) </w:t>
      </w: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pozitivne</w:t>
      </w:r>
      <w:proofErr w:type="spellEnd"/>
      <w:proofErr w:type="gram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nalaze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dijagnostičkih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metoda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mogu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objektivizirati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to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oštećenje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047F4B" w:rsidRPr="00047F4B" w:rsidRDefault="00047F4B" w:rsidP="00047F4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(3)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Prisutnost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štetnosti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1. </w:t>
      </w: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spellEnd"/>
      <w:proofErr w:type="gram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članka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utvrđuje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se:</w:t>
      </w:r>
    </w:p>
    <w:p w:rsidR="00047F4B" w:rsidRPr="00047F4B" w:rsidRDefault="00047F4B" w:rsidP="00047F4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1) </w:t>
      </w: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procjenom</w:t>
      </w:r>
      <w:proofErr w:type="spellEnd"/>
      <w:proofErr w:type="gram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opasnosti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drugi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način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omogućava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da se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sigurnošću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utvrdi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prisutnost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štetnosti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:rsidR="00047F4B" w:rsidRPr="00047F4B" w:rsidRDefault="00047F4B" w:rsidP="00047F4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2) </w:t>
      </w: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određivanjem</w:t>
      </w:r>
      <w:proofErr w:type="spellEnd"/>
      <w:proofErr w:type="gram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intenziteta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mjerenjem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neposrednim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uvidom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uvjete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rada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drugi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način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omogućava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da se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sigurnošću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utvrdi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intenzitet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štetnosti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trajanja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izloženosti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toj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štetnosti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047F4B" w:rsidRPr="00047F4B" w:rsidRDefault="00047F4B" w:rsidP="00047F4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3.</w:t>
      </w:r>
      <w:proofErr w:type="gramEnd"/>
    </w:p>
    <w:p w:rsidR="00047F4B" w:rsidRPr="00047F4B" w:rsidRDefault="00047F4B" w:rsidP="00047F4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Profesionalnim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bolestima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smatraju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bolesti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utvrđene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profesionalnih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bolesti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glasi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4650"/>
      </w:tblGrid>
      <w:tr w:rsidR="00047F4B" w:rsidRPr="00047F4B" w:rsidTr="00047F4B">
        <w:trPr>
          <w:trHeight w:val="60"/>
        </w:trPr>
        <w:tc>
          <w:tcPr>
            <w:tcW w:w="5160" w:type="dxa"/>
            <w:gridSpan w:val="2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LISTA PROFESIONALNIH BOLESTI</w:t>
            </w:r>
          </w:p>
        </w:tc>
      </w:tr>
      <w:tr w:rsidR="00047F4B" w:rsidRPr="00047F4B" w:rsidTr="00047F4B">
        <w:trPr>
          <w:trHeight w:val="60"/>
        </w:trPr>
        <w:tc>
          <w:tcPr>
            <w:tcW w:w="5160" w:type="dxa"/>
            <w:gridSpan w:val="2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PROFESIONALNE BOLESTI UZROKOVANE KEMIJSKIM, FIZIKALNIM I BIOLOŠKIM ŠTETNOSTIMA</w:t>
            </w:r>
          </w:p>
        </w:tc>
      </w:tr>
      <w:tr w:rsidR="00047F4B" w:rsidRPr="00047F4B" w:rsidTr="00047F4B">
        <w:trPr>
          <w:trHeight w:val="60"/>
        </w:trPr>
        <w:tc>
          <w:tcPr>
            <w:tcW w:w="5160" w:type="dxa"/>
            <w:gridSpan w:val="2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Bolesti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uzrokovane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kemijskim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tvarima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Akrilonitril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Arsen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njegovi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spojevi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Berilij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njegovi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spojevi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4.1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Ugljik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(II)-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oksid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monoksid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)</w:t>
            </w:r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4.2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Fozgen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5.1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Cijanovodična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kiselina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5.2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Cijanidi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njihovi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spojevi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5.3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Izocijanati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Kadmij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njegovi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spojevi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Krom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njegovi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spojevi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Živa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spojevi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9.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Mangan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njegovi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spojevi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10.1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Nitratna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kiselina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10.2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Dušikovi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oksidi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10.3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Amonijak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11.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Nikalj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njegovi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spojevi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Fosfor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njegovi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spojevi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13.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Olovo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njegovi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spojevi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14.1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Sumporovi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oksidi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14.2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Sulfatna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kiselina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14.3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Ugljik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(II)-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sulfid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14.4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Sumporovodik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Vanadij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njegovi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spojevi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16.1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Klor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16.2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Brom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16.3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Jod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16.4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Fluor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njegovi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spojevi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17.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Alifatski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aliciklički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ugljikovodici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dobiveni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nafte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18.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Halogenirani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derivati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alifatskih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alicikličkih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ugljikovodika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19.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Alkoholi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(butanol,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metanol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izopropanol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)</w:t>
            </w:r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Glikoli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etilen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glikol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dietilenglikol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1,4-butandiol),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nitroglikoli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nitroglicerin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derivati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21.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Eteri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metil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eter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etil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eter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izopropil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eter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vinil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eter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diklorizopropil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eter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gvajakol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metil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etil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eter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etilenglikola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)</w:t>
            </w:r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22.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Ketoni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aceton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kloroaceton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bromoaceton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heksafluoroaceton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metil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etil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keton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metil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n-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butil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keton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metil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izobutil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keton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diaceton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alkohol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mezitil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oksid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 2-metilcikloheksanon)</w:t>
            </w:r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23.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Organofosforni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esteri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24.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Organske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kiseline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25.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Formaldehid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26.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Alifatski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nitro-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derivati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27.1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Benzen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homolozi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benzena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(CnH2n-6)</w:t>
            </w:r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27.2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Naftalen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homolozi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naftalena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(CnH2n-12)</w:t>
            </w:r>
          </w:p>
        </w:tc>
      </w:tr>
      <w:tr w:rsidR="00047F4B" w:rsidRPr="00047F4B" w:rsidTr="00047F4B">
        <w:trPr>
          <w:trHeight w:val="30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27.3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Stiren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vinilstiren</w:t>
            </w:r>
            <w:proofErr w:type="spellEnd"/>
          </w:p>
        </w:tc>
      </w:tr>
      <w:tr w:rsidR="00047F4B" w:rsidRPr="00047F4B" w:rsidTr="00047F4B">
        <w:trPr>
          <w:trHeight w:val="30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28.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Halogenirani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derivati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aromatskih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ugljikovodika</w:t>
            </w:r>
            <w:proofErr w:type="spellEnd"/>
          </w:p>
        </w:tc>
      </w:tr>
      <w:tr w:rsidR="00047F4B" w:rsidRPr="00047F4B" w:rsidTr="00047F4B">
        <w:trPr>
          <w:trHeight w:val="30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29.1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Fenoli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njihovi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homolozi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njihovi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halogenirani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derivati</w:t>
            </w:r>
            <w:proofErr w:type="spellEnd"/>
          </w:p>
        </w:tc>
      </w:tr>
      <w:tr w:rsidR="00047F4B" w:rsidRPr="00047F4B" w:rsidTr="00047F4B">
        <w:trPr>
          <w:trHeight w:val="30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29.2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Naftoli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njihovi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homolozi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njihovi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halogenirani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derivati</w:t>
            </w:r>
            <w:proofErr w:type="spellEnd"/>
          </w:p>
        </w:tc>
      </w:tr>
      <w:tr w:rsidR="00047F4B" w:rsidRPr="00047F4B" w:rsidTr="00047F4B">
        <w:trPr>
          <w:trHeight w:val="30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29.3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Halogenirani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derivati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alkilarilnih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oksida</w:t>
            </w:r>
            <w:proofErr w:type="spellEnd"/>
          </w:p>
        </w:tc>
      </w:tr>
      <w:tr w:rsidR="00047F4B" w:rsidRPr="00047F4B" w:rsidTr="00047F4B">
        <w:trPr>
          <w:trHeight w:val="30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29.4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Halogenirani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derivati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alkilarilnih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sulfonata</w:t>
            </w:r>
            <w:proofErr w:type="spellEnd"/>
          </w:p>
        </w:tc>
      </w:tr>
      <w:tr w:rsidR="00047F4B" w:rsidRPr="00047F4B" w:rsidTr="00047F4B">
        <w:trPr>
          <w:trHeight w:val="30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29.5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Benzokinoni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30.1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Aromatski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amini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aromatski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hidrazini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njihovi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halogenirani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fenolni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nitritni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nitratni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sulfonirani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derivati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30.2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Alifatski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amini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njihovi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halogenirani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derivati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31.1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Nitro-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derivati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aromatskih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ugljikovodika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31.2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Nitro-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derivati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fenola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njihovih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homologa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32.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Antimon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njegovi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derivati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33.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Esteri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nitratne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kiseline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34.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Encefalopatije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organskim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otapalima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koja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nisu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navedena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zaglavljima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35.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Polineuropatije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organskim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otapalima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koja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nisu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navedena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zaglavljima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60" w:type="dxa"/>
            <w:gridSpan w:val="2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Bolesti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uzrokovane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fizikalnim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štetnostima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naprezanjima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36.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Nagluhost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gluhoća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bukom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37.1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Bolesti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vibracijama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koje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se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prenose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ruke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oštećenja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perifernih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žila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živaca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kostiju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zglobova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tetiva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okozglobnih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tkiva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)</w:t>
            </w:r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37.2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Bolesti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vibracijama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koje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se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prenose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cijelo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tijelo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oštećenja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intervertebralnog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diska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slabinske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kralježnice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)</w:t>
            </w:r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38.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Bolesti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ionizirajućim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zračenjima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39.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Bolesti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neionizirajućim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zračenjima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40.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Bolesti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povišenim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sniženim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atmosferskim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tlakom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naglim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promjenama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tlaka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41.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Sindromi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prenaprezanja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kumulativnom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traumom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ponavljajući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pokreti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primjena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sile,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nefiziološki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položaj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vibracije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pritisak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)</w:t>
            </w:r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42.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Burzitisi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oštećenja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meniska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koljena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vezani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dugotrajni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rad u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klečećem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čučećem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položaju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43.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Čvorići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glasnica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kontinuiranim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naporom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glasnica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radu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60" w:type="dxa"/>
            <w:gridSpan w:val="2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Bolesti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uzrokovane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biološkim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štetnostima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44.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Zarazne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parazitske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bolesti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prenesene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čovjeka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životinja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životinjskih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ostataka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45.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Zarazne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parazitske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bolesti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radom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djelatnostima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gdje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je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dokazan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povećan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rizik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zaraze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60" w:type="dxa"/>
            <w:gridSpan w:val="2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PROFESIONALNE BOLESTI POJEDINIH ORGANSKIH SUSTAVA</w:t>
            </w:r>
          </w:p>
        </w:tc>
      </w:tr>
      <w:tr w:rsidR="00047F4B" w:rsidRPr="00047F4B" w:rsidTr="00047F4B">
        <w:trPr>
          <w:trHeight w:val="60"/>
        </w:trPr>
        <w:tc>
          <w:tcPr>
            <w:tcW w:w="5160" w:type="dxa"/>
            <w:gridSpan w:val="2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Kožne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bolesti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uzrokovane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tvarima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koje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nisu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obuhvaćene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drugim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zaglavljima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46.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Kožne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bolesti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maligni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tumori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kože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čađom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katranom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bitumenom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antracenom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njegovim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spojevima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mineralnim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uljima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karbazolom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njegovim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spojevima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nusproizvodima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destilacije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ugljena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47.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Bolesti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kože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tvarima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kojima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je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znanstveno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potvrđeno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alergijsko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nadražujuće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djelovanje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nespomenutim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zaglavljima</w:t>
            </w:r>
            <w:proofErr w:type="spellEnd"/>
          </w:p>
        </w:tc>
      </w:tr>
      <w:tr w:rsidR="00047F4B" w:rsidRPr="00047F4B" w:rsidTr="00047F4B">
        <w:trPr>
          <w:trHeight w:val="570"/>
        </w:trPr>
        <w:tc>
          <w:tcPr>
            <w:tcW w:w="5160" w:type="dxa"/>
            <w:gridSpan w:val="2"/>
            <w:vAlign w:val="center"/>
            <w:hideMark/>
          </w:tcPr>
          <w:p w:rsidR="00047F4B" w:rsidRPr="00047F4B" w:rsidRDefault="00047F4B" w:rsidP="00047F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Dišne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bolesti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uzrokovane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udisanjem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tvari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koje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nisu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obuhvaćene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drugim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zaglavljima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48.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Silikoza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bolesti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dišnog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sustava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silicijevim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dioksidom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49.1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Bolesti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dišnog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sustava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azbestozom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49.2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Mezoteliom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seroznih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membrana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azbestom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49.3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Malignom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pluća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bronha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grkljana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azbestom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50.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pneumokonioze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51.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Bolest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dišnog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sustava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prašinom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tvrdog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metala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52.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Ekstrinzički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alergijski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alveolitis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53.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Plućne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bolesti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udisanjem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prašina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vlakana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pamuka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lana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konoplje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jute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sisala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54.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Astma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udisanjem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tvari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kojima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je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potvrđeno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alergijsko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nadražujuće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djelovanje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55.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Alergijski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rinitis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udisanjem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tvari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koje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su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priznate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kao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uzročnici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alergije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koje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su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karakteristične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proces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56.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Kronični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opstruktivni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bronhitis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emfizem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rudara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ugljena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dubinskim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kopovima</w:t>
            </w:r>
            <w:proofErr w:type="spellEnd"/>
          </w:p>
        </w:tc>
      </w:tr>
      <w:tr w:rsidR="00047F4B" w:rsidRPr="00047F4B" w:rsidTr="00047F4B">
        <w:trPr>
          <w:trHeight w:val="60"/>
        </w:trPr>
        <w:tc>
          <w:tcPr>
            <w:tcW w:w="510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57.</w:t>
            </w:r>
          </w:p>
        </w:tc>
        <w:tc>
          <w:tcPr>
            <w:tcW w:w="4635" w:type="dxa"/>
            <w:vAlign w:val="center"/>
            <w:hideMark/>
          </w:tcPr>
          <w:p w:rsidR="00047F4B" w:rsidRPr="00047F4B" w:rsidRDefault="00047F4B" w:rsidP="00047F4B">
            <w:pPr>
              <w:spacing w:after="13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Maligne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bolesti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gornjih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dišnih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putova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prašinama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drveta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maligne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bolesti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pluća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kože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koje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su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uzrokovane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čađom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isparavanjem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smole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katranom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drvenog</w:t>
            </w:r>
            <w:proofErr w:type="spellEnd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7F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ugljena</w:t>
            </w:r>
            <w:proofErr w:type="spellEnd"/>
          </w:p>
        </w:tc>
      </w:tr>
    </w:tbl>
    <w:p w:rsidR="00047F4B" w:rsidRPr="00047F4B" w:rsidRDefault="00047F4B" w:rsidP="00047F4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Poslovima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proofErr w:type="gram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kojima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javljaju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profesionalne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bolesti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smatraj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poslovi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kojima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radnici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izloženim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kemijskim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fizikalnim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biološkim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štetnostima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naprezanjima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Liste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profesionalnih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bolesti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navedene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1. </w:t>
      </w: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spellEnd"/>
      <w:proofErr w:type="gram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članka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(3)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Podzakonskim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propisom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ministar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nadležan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zdravstvo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uz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suglasnost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ministra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nadležnog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rad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propisat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spellEnd"/>
      <w:proofErr w:type="gram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način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vođenja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registra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profesionalnih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bolesti</w:t>
      </w:r>
      <w:proofErr w:type="spellEnd"/>
    </w:p>
    <w:p w:rsidR="00047F4B" w:rsidRPr="00047F4B" w:rsidRDefault="00047F4B" w:rsidP="00047F4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4.</w:t>
      </w:r>
      <w:proofErr w:type="gramEnd"/>
    </w:p>
    <w:p w:rsidR="00047F4B" w:rsidRPr="00047F4B" w:rsidRDefault="00047F4B" w:rsidP="00047F4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Do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početka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primjene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posebnog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zakona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stažu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osiguranja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povećanim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trajanjem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primjenjuju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propisi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utvrđivanju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staža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osiguranja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povećanim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trajanjem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proofErr w:type="gram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snazi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početka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primjene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Zakona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047F4B" w:rsidRPr="00047F4B" w:rsidRDefault="00047F4B" w:rsidP="00047F4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5.</w:t>
      </w:r>
      <w:proofErr w:type="gramEnd"/>
    </w:p>
    <w:p w:rsidR="00047F4B" w:rsidRPr="00047F4B" w:rsidRDefault="00047F4B" w:rsidP="00047F4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Ovaj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Zakon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stupa </w:t>
      </w: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proofErr w:type="gram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snagu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osmog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dana od dana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objave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"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Narodnim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novinama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", a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primjenjivat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od 1. </w:t>
      </w: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siječnja</w:t>
      </w:r>
      <w:proofErr w:type="spellEnd"/>
      <w:proofErr w:type="gram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1999.</w:t>
      </w:r>
    </w:p>
    <w:p w:rsidR="00047F4B" w:rsidRPr="00047F4B" w:rsidRDefault="00047F4B" w:rsidP="00047F4B">
      <w:pPr>
        <w:spacing w:before="150" w:after="150" w:line="336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414145"/>
          <w:sz w:val="20"/>
          <w:szCs w:val="20"/>
          <w:lang w:val="en-GB" w:eastAsia="en-GB"/>
        </w:rPr>
      </w:pPr>
      <w:proofErr w:type="spellStart"/>
      <w:r w:rsidRPr="00047F4B">
        <w:rPr>
          <w:rFonts w:ascii="Times New Roman" w:eastAsia="Times New Roman" w:hAnsi="Times New Roman" w:cs="Times New Roman"/>
          <w:b/>
          <w:bCs/>
          <w:color w:val="414145"/>
          <w:sz w:val="20"/>
          <w:szCs w:val="20"/>
          <w:lang w:val="en-GB" w:eastAsia="en-GB"/>
        </w:rPr>
        <w:t>Prijelazne</w:t>
      </w:r>
      <w:proofErr w:type="spellEnd"/>
      <w:r w:rsidRPr="00047F4B">
        <w:rPr>
          <w:rFonts w:ascii="Times New Roman" w:eastAsia="Times New Roman" w:hAnsi="Times New Roman" w:cs="Times New Roman"/>
          <w:b/>
          <w:bCs/>
          <w:color w:val="414145"/>
          <w:sz w:val="20"/>
          <w:szCs w:val="20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b/>
          <w:bCs/>
          <w:color w:val="414145"/>
          <w:sz w:val="20"/>
          <w:szCs w:val="20"/>
          <w:lang w:val="en-GB" w:eastAsia="en-GB"/>
        </w:rPr>
        <w:t>i</w:t>
      </w:r>
      <w:proofErr w:type="spellEnd"/>
      <w:r w:rsidRPr="00047F4B">
        <w:rPr>
          <w:rFonts w:ascii="Times New Roman" w:eastAsia="Times New Roman" w:hAnsi="Times New Roman" w:cs="Times New Roman"/>
          <w:b/>
          <w:bCs/>
          <w:color w:val="414145"/>
          <w:sz w:val="20"/>
          <w:szCs w:val="20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b/>
          <w:bCs/>
          <w:color w:val="414145"/>
          <w:sz w:val="20"/>
          <w:szCs w:val="20"/>
          <w:lang w:val="en-GB" w:eastAsia="en-GB"/>
        </w:rPr>
        <w:t>završne</w:t>
      </w:r>
      <w:proofErr w:type="spellEnd"/>
      <w:r w:rsidRPr="00047F4B">
        <w:rPr>
          <w:rFonts w:ascii="Times New Roman" w:eastAsia="Times New Roman" w:hAnsi="Times New Roman" w:cs="Times New Roman"/>
          <w:b/>
          <w:bCs/>
          <w:color w:val="414145"/>
          <w:sz w:val="20"/>
          <w:szCs w:val="20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b/>
          <w:bCs/>
          <w:color w:val="414145"/>
          <w:sz w:val="20"/>
          <w:szCs w:val="20"/>
          <w:lang w:val="en-GB" w:eastAsia="en-GB"/>
        </w:rPr>
        <w:t>odredbe</w:t>
      </w:r>
      <w:proofErr w:type="spellEnd"/>
      <w:r w:rsidRPr="00047F4B">
        <w:rPr>
          <w:rFonts w:ascii="Times New Roman" w:eastAsia="Times New Roman" w:hAnsi="Times New Roman" w:cs="Times New Roman"/>
          <w:b/>
          <w:bCs/>
          <w:color w:val="414145"/>
          <w:sz w:val="20"/>
          <w:szCs w:val="20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b/>
          <w:bCs/>
          <w:color w:val="414145"/>
          <w:sz w:val="20"/>
          <w:szCs w:val="20"/>
          <w:lang w:val="en-GB" w:eastAsia="en-GB"/>
        </w:rPr>
        <w:t>iz</w:t>
      </w:r>
      <w:proofErr w:type="spellEnd"/>
      <w:r w:rsidRPr="00047F4B">
        <w:rPr>
          <w:rFonts w:ascii="Times New Roman" w:eastAsia="Times New Roman" w:hAnsi="Times New Roman" w:cs="Times New Roman"/>
          <w:b/>
          <w:bCs/>
          <w:color w:val="414145"/>
          <w:sz w:val="20"/>
          <w:szCs w:val="20"/>
          <w:lang w:val="en-GB" w:eastAsia="en-GB"/>
        </w:rPr>
        <w:t xml:space="preserve"> NN 107/07</w:t>
      </w:r>
    </w:p>
    <w:p w:rsidR="00047F4B" w:rsidRPr="00047F4B" w:rsidRDefault="00047F4B" w:rsidP="00047F4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3.</w:t>
      </w:r>
      <w:proofErr w:type="gramEnd"/>
    </w:p>
    <w:p w:rsidR="00047F4B" w:rsidRPr="00047F4B" w:rsidRDefault="00047F4B" w:rsidP="00047F4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Postupci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priznavanja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profesionalnih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bolesti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započeti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odredbama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Zakona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profesionalnih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bolesti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(»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Narodne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novine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«, br. 162/98.)</w:t>
      </w:r>
      <w:proofErr w:type="gram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dovršit</w:t>
      </w:r>
      <w:proofErr w:type="spellEnd"/>
      <w:proofErr w:type="gram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odredbama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toga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Zakona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047F4B" w:rsidRPr="00047F4B" w:rsidRDefault="00047F4B" w:rsidP="00047F4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4.</w:t>
      </w:r>
      <w:proofErr w:type="gramEnd"/>
    </w:p>
    <w:p w:rsidR="00047F4B" w:rsidRPr="00047F4B" w:rsidRDefault="00047F4B" w:rsidP="00047F4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Propis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članka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2.</w:t>
      </w:r>
      <w:proofErr w:type="gram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stavka</w:t>
      </w:r>
      <w:proofErr w:type="spellEnd"/>
      <w:proofErr w:type="gram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3. </w:t>
      </w: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spellEnd"/>
      <w:proofErr w:type="gram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Zakona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donijet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u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roku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od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šest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mjeseci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stupanja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snagu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Zakona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047F4B" w:rsidRPr="00047F4B" w:rsidRDefault="00047F4B" w:rsidP="00047F4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5.</w:t>
      </w:r>
      <w:proofErr w:type="gramEnd"/>
    </w:p>
    <w:p w:rsidR="00047F4B" w:rsidRPr="00047F4B" w:rsidRDefault="00047F4B" w:rsidP="00047F4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Ovaj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Zakon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stupa </w:t>
      </w:r>
      <w:proofErr w:type="spellStart"/>
      <w:proofErr w:type="gram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proofErr w:type="gram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snagu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osmoga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dana od dana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objave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»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Narodnim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novinama</w:t>
      </w:r>
      <w:proofErr w:type="spellEnd"/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«.</w:t>
      </w:r>
    </w:p>
    <w:p w:rsidR="00F54A60" w:rsidRPr="00047F4B" w:rsidRDefault="00047F4B" w:rsidP="00047F4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47F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sectPr w:rsidR="00F54A60" w:rsidRPr="00047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25E8"/>
    <w:multiLevelType w:val="multilevel"/>
    <w:tmpl w:val="0056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84E41"/>
    <w:multiLevelType w:val="multilevel"/>
    <w:tmpl w:val="B5DA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6712C"/>
    <w:multiLevelType w:val="multilevel"/>
    <w:tmpl w:val="C962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4B"/>
    <w:rsid w:val="00047F4B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link w:val="Heading1Char"/>
    <w:uiPriority w:val="9"/>
    <w:qFormat/>
    <w:rsid w:val="00047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047F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Heading5">
    <w:name w:val="heading 5"/>
    <w:basedOn w:val="Normal"/>
    <w:link w:val="Heading5Char"/>
    <w:uiPriority w:val="9"/>
    <w:qFormat/>
    <w:rsid w:val="00047F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F4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47F4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47F4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047F4B"/>
  </w:style>
  <w:style w:type="character" w:styleId="Hyperlink">
    <w:name w:val="Hyperlink"/>
    <w:basedOn w:val="DefaultParagraphFont"/>
    <w:uiPriority w:val="99"/>
    <w:semiHidden/>
    <w:unhideWhenUsed/>
    <w:rsid w:val="00047F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7F4B"/>
    <w:rPr>
      <w:color w:val="800080"/>
      <w:u w:val="single"/>
    </w:rPr>
  </w:style>
  <w:style w:type="character" w:customStyle="1" w:styleId="nav-headline">
    <w:name w:val="nav-headline"/>
    <w:basedOn w:val="DefaultParagraphFont"/>
    <w:rsid w:val="00047F4B"/>
  </w:style>
  <w:style w:type="character" w:customStyle="1" w:styleId="nav-obavijesti">
    <w:name w:val="nav-obavijesti"/>
    <w:basedOn w:val="DefaultParagraphFont"/>
    <w:rsid w:val="00047F4B"/>
  </w:style>
  <w:style w:type="paragraph" w:styleId="NormalWeb">
    <w:name w:val="Normal (Web)"/>
    <w:basedOn w:val="Normal"/>
    <w:uiPriority w:val="99"/>
    <w:unhideWhenUsed/>
    <w:rsid w:val="0004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con-unie602">
    <w:name w:val="icon-unie602"/>
    <w:basedOn w:val="DefaultParagraphFont"/>
    <w:rsid w:val="00047F4B"/>
  </w:style>
  <w:style w:type="character" w:customStyle="1" w:styleId="preuzmi-naslov">
    <w:name w:val="preuzmi-naslov"/>
    <w:basedOn w:val="DefaultParagraphFont"/>
    <w:rsid w:val="00047F4B"/>
  </w:style>
  <w:style w:type="character" w:customStyle="1" w:styleId="eknjiga">
    <w:name w:val="eknjiga"/>
    <w:basedOn w:val="DefaultParagraphFont"/>
    <w:rsid w:val="00047F4B"/>
  </w:style>
  <w:style w:type="character" w:customStyle="1" w:styleId="icon-in">
    <w:name w:val="icon-in"/>
    <w:basedOn w:val="DefaultParagraphFont"/>
    <w:rsid w:val="00047F4B"/>
  </w:style>
  <w:style w:type="character" w:styleId="Strong">
    <w:name w:val="Strong"/>
    <w:basedOn w:val="DefaultParagraphFont"/>
    <w:uiPriority w:val="22"/>
    <w:qFormat/>
    <w:rsid w:val="00047F4B"/>
    <w:rPr>
      <w:b/>
      <w:bCs/>
    </w:rPr>
  </w:style>
  <w:style w:type="character" w:styleId="Emphasis">
    <w:name w:val="Emphasis"/>
    <w:basedOn w:val="DefaultParagraphFont"/>
    <w:uiPriority w:val="20"/>
    <w:qFormat/>
    <w:rsid w:val="00047F4B"/>
    <w:rPr>
      <w:i/>
      <w:iCs/>
    </w:rPr>
  </w:style>
  <w:style w:type="paragraph" w:customStyle="1" w:styleId="text-center">
    <w:name w:val="text-center"/>
    <w:basedOn w:val="Normal"/>
    <w:rsid w:val="0004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F4B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link w:val="Heading1Char"/>
    <w:uiPriority w:val="9"/>
    <w:qFormat/>
    <w:rsid w:val="00047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047F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Heading5">
    <w:name w:val="heading 5"/>
    <w:basedOn w:val="Normal"/>
    <w:link w:val="Heading5Char"/>
    <w:uiPriority w:val="9"/>
    <w:qFormat/>
    <w:rsid w:val="00047F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F4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47F4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47F4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047F4B"/>
  </w:style>
  <w:style w:type="character" w:styleId="Hyperlink">
    <w:name w:val="Hyperlink"/>
    <w:basedOn w:val="DefaultParagraphFont"/>
    <w:uiPriority w:val="99"/>
    <w:semiHidden/>
    <w:unhideWhenUsed/>
    <w:rsid w:val="00047F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7F4B"/>
    <w:rPr>
      <w:color w:val="800080"/>
      <w:u w:val="single"/>
    </w:rPr>
  </w:style>
  <w:style w:type="character" w:customStyle="1" w:styleId="nav-headline">
    <w:name w:val="nav-headline"/>
    <w:basedOn w:val="DefaultParagraphFont"/>
    <w:rsid w:val="00047F4B"/>
  </w:style>
  <w:style w:type="character" w:customStyle="1" w:styleId="nav-obavijesti">
    <w:name w:val="nav-obavijesti"/>
    <w:basedOn w:val="DefaultParagraphFont"/>
    <w:rsid w:val="00047F4B"/>
  </w:style>
  <w:style w:type="paragraph" w:styleId="NormalWeb">
    <w:name w:val="Normal (Web)"/>
    <w:basedOn w:val="Normal"/>
    <w:uiPriority w:val="99"/>
    <w:unhideWhenUsed/>
    <w:rsid w:val="0004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con-unie602">
    <w:name w:val="icon-unie602"/>
    <w:basedOn w:val="DefaultParagraphFont"/>
    <w:rsid w:val="00047F4B"/>
  </w:style>
  <w:style w:type="character" w:customStyle="1" w:styleId="preuzmi-naslov">
    <w:name w:val="preuzmi-naslov"/>
    <w:basedOn w:val="DefaultParagraphFont"/>
    <w:rsid w:val="00047F4B"/>
  </w:style>
  <w:style w:type="character" w:customStyle="1" w:styleId="eknjiga">
    <w:name w:val="eknjiga"/>
    <w:basedOn w:val="DefaultParagraphFont"/>
    <w:rsid w:val="00047F4B"/>
  </w:style>
  <w:style w:type="character" w:customStyle="1" w:styleId="icon-in">
    <w:name w:val="icon-in"/>
    <w:basedOn w:val="DefaultParagraphFont"/>
    <w:rsid w:val="00047F4B"/>
  </w:style>
  <w:style w:type="character" w:styleId="Strong">
    <w:name w:val="Strong"/>
    <w:basedOn w:val="DefaultParagraphFont"/>
    <w:uiPriority w:val="22"/>
    <w:qFormat/>
    <w:rsid w:val="00047F4B"/>
    <w:rPr>
      <w:b/>
      <w:bCs/>
    </w:rPr>
  </w:style>
  <w:style w:type="character" w:styleId="Emphasis">
    <w:name w:val="Emphasis"/>
    <w:basedOn w:val="DefaultParagraphFont"/>
    <w:uiPriority w:val="20"/>
    <w:qFormat/>
    <w:rsid w:val="00047F4B"/>
    <w:rPr>
      <w:i/>
      <w:iCs/>
    </w:rPr>
  </w:style>
  <w:style w:type="paragraph" w:customStyle="1" w:styleId="text-center">
    <w:name w:val="text-center"/>
    <w:basedOn w:val="Normal"/>
    <w:rsid w:val="0004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F4B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7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9838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041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387132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9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2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5846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3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85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55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2024-11-26T11:31:00Z</dcterms:created>
  <dcterms:modified xsi:type="dcterms:W3CDTF">2024-11-26T11:33:00Z</dcterms:modified>
</cp:coreProperties>
</file>