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proofErr w:type="gramStart"/>
      <w:r>
        <w:rPr>
          <w:color w:val="231F20"/>
        </w:rPr>
        <w:t>Na temelju članka 63.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2.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</w:rPr>
        <w:t xml:space="preserve"> članka 64.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3. Zakona o odgoju i obrazovanju u osnovnoj i srednjoj školi (»Narodne novine« broj 87/08, 86/09, 92/10, 105/10, 90/11, 5/12, 16/12, 86/12, 126/12, 94/13, 152/14, 07/17, 68/18, 98/19, 64/20, 151/22, 155/23 i 156/23)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članka 17.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3. Zakona o predškolskom odgoju i obrazovanju (»Narodne novine« broj 10/97, 107/07, 94/13, 98/19, 57/22 i 101/23), ministar znanosti, obrazovanja i mladih donosi</w:t>
      </w:r>
    </w:p>
    <w:p w:rsidR="00762728" w:rsidRDefault="00762728" w:rsidP="00762728">
      <w:pPr>
        <w:pStyle w:val="box479917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PRAVILNIK</w:t>
      </w:r>
    </w:p>
    <w:p w:rsidR="00762728" w:rsidRDefault="00762728" w:rsidP="00762728">
      <w:pPr>
        <w:pStyle w:val="box479917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ODGOJU I OBRAZOVANJU DAROVITE</w:t>
      </w:r>
      <w:r>
        <w:rPr>
          <w:rFonts w:ascii="Minion Pro" w:hAnsi="Minion Pro"/>
          <w:b/>
          <w:bCs/>
          <w:color w:val="231F20"/>
          <w:sz w:val="29"/>
          <w:szCs w:val="29"/>
        </w:rPr>
        <w:br/>
      </w:r>
      <w:r>
        <w:rPr>
          <w:b/>
          <w:bCs/>
          <w:color w:val="231F20"/>
          <w:sz w:val="29"/>
          <w:szCs w:val="29"/>
        </w:rPr>
        <w:t>DJECE I UČENIKA</w:t>
      </w:r>
    </w:p>
    <w:p w:rsidR="00762728" w:rsidRDefault="00762728" w:rsidP="00762728">
      <w:pPr>
        <w:pStyle w:val="box479917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(Narodne novine, br. 71/25)</w:t>
      </w:r>
      <w:bookmarkStart w:id="0" w:name="_GoBack"/>
      <w:bookmarkEnd w:id="0"/>
    </w:p>
    <w:p w:rsidR="00762728" w:rsidRDefault="00762728" w:rsidP="00762728">
      <w:pPr>
        <w:pStyle w:val="box479917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PRVI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OPĆE ODREDBE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Predmet uređenja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Pravilnikom o odgoju i obrazovanju darovite djece i učenika (u daljnjem tekstu: Pravilnik) propisuje se način zapažanja, utvrđivanja i poticanja darovitosti te praćenja i vrednovanja postignuća darovite djece i učenika, način obrazovanja te uvjeti i postupak kojima se darovito dijete i učenik (u daljnjem tekstu: darovito dijete/učenik) može prijevremeno upisati u odgojno-obrazovnu ustanovu i završiti program obrazovanja u razdoblju kraćem od propisanoga.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Pojam darovitosti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2.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Darovitost je sklop osobina, visoko iznadprosječnih općih intelektualnih i/ili specifičnih sposobnosti, visokoga stupnja kreativnosti i motivacije koji darovitima omogućuje razvijanje izvrsnih kompetencija i dosljedno postizanje izrazito iznadprosječnih postignuća i/ili radova u jednome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više područja: jezično-komunikacijskom, matematičkom, prirodoslovnom, tehničkom i informatičkom, društveno-humanističkom, umjetničkom te tjelesnom i zdravstvenom.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Darovito dijete/učenik jest dijete/učenik u kojega su utvrđene visoko iznadprosječne opće intelektualne sposobnosti i/ili specifične sposobnosti, visok stupanj kreativnosti i motivacije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dosljedno postizanje izrazito iznadprosječnih postignuća i/ili radova u jednome ili više odgojno-obrazovnih područja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Darovito dijete/učenik s teškoćama u razvoju jest dijete/učenik u kojega je utvrđena darovitost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članka, kao i teškoće koje proizlaze iz tjelesnih, mentalnih, osjetilnih oštećenja i poremećaja funkcija ili kombinacije više vrsta oštećenja i poremećaja koji se manifestiraju tijekom razvojne dobi, a čije sposobnosti u međudjelovanju s čimbenicima iz okoline ograničavaju njegovo puno, učinkovito i ravnopravno sudjelovanje u odgojno-obrazovnome procesu.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Rodno značenje pojmova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3.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Izrazi koji se upotrebljavaju u ovome Pravilniku, a imaju rodno značenje, odnose se jednako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muški i na ženski rod.</w:t>
      </w: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lastRenderedPageBreak/>
        <w:t>DRUGI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POSTUPAK ZAPAŽANJA I UTVRĐIVANJA DAROVITOSTI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Zapažanje i utvrđivanje darovitosti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4.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Zapažanje i utvrđivanje darovitosti postupak je koji se provodi radi prepoznavanja i zadovoljavanja odgojno-obrazovnih potreba djeteta/učenika, odnosno poticanja razvoja njegovih punih potencijala uz odgovarajuću potporu odgojno-obrazovnoga sustava.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Postupak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kontinuiran je proces koji provodi tim stručnjaka (u daljnjem tekstu: Tim za darovite), a obuhvaća svu djecu/učenike u svim dobnim skupinama od predškolske do srednjoškolske razine odgojno-obrazovnoga procesa.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Tim za darovite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5.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Tim za darovite iz članka 4.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stručno je tijelo odgojno-obrazovne ustanove čijega voditelja, kao stručnoga koordinatora, i članove imenuje ravnatelj ustanove odlukom o imenovanju.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Članovi Tima za darovite jesu: ravnatelj, psiholog, pedagog, odgojitelji / učitelji razredne i predmetne nastave / nastavnici, odgajatelji, a prema potrebi uključuju se i logoped, edukacijski rehabilitator i/ili socijalni pedagog, knjižničar i vanjski stručnjaci.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U slučaju da ravnatelj ne može u Tim za darovite iz stavka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imenovati psihologa zaposlenoga na radnom mjestu stručnoga suradnika u odgojno-obrazovnoj ustanovi kojom rukovodi, dužan je angažirati psihologa iz druge ustanove.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Tim za darovite: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planira</w:t>
      </w:r>
      <w:proofErr w:type="gramEnd"/>
      <w:r>
        <w:rPr>
          <w:color w:val="231F20"/>
        </w:rPr>
        <w:t>, organizira, koordinira i provodi proces identifikacije darovitosti djece/učenika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priprema</w:t>
      </w:r>
      <w:proofErr w:type="gramEnd"/>
      <w:r>
        <w:rPr>
          <w:color w:val="231F20"/>
        </w:rPr>
        <w:t xml:space="preserve"> mišljenje i predlaže primjerene oblike odgojno-ob</w:t>
      </w:r>
      <w:r>
        <w:rPr>
          <w:color w:val="231F20"/>
        </w:rPr>
        <w:softHyphen/>
        <w:t>razovne potpore za identificirano darovito dijete/učenika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izrađuje</w:t>
      </w:r>
      <w:proofErr w:type="gramEnd"/>
      <w:r>
        <w:rPr>
          <w:color w:val="231F20"/>
        </w:rPr>
        <w:t xml:space="preserve"> individualizirani kurikul za darovito dijete/učenika (u daljnjem tekstu: individualizirani kurikul) s učiteljem/mentorom darovitoga djeteta/učenika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osmišljava</w:t>
      </w:r>
      <w:proofErr w:type="gramEnd"/>
      <w:r>
        <w:rPr>
          <w:color w:val="231F20"/>
        </w:rPr>
        <w:t>, planira i provodi, koordinira, prati i vrednuje raz</w:t>
      </w:r>
      <w:r>
        <w:rPr>
          <w:color w:val="231F20"/>
        </w:rPr>
        <w:softHyphen/>
        <w:t>ličite oblike odgojno-obrazovne potpore darovitoj djeci/učenicima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priprema</w:t>
      </w:r>
      <w:proofErr w:type="gramEnd"/>
      <w:r>
        <w:rPr>
          <w:color w:val="231F20"/>
        </w:rPr>
        <w:t xml:space="preserve"> izvješća o napredovanju darovite djece/učenika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pruža</w:t>
      </w:r>
      <w:proofErr w:type="gramEnd"/>
      <w:r>
        <w:rPr>
          <w:color w:val="231F20"/>
        </w:rPr>
        <w:t xml:space="preserve"> stručnu pomoć darovitom djetetu/učeniku, odgojiteljima/učiteljima/nastavnicima/odgajateljima i roditeljima/skrbnicima (u daljnjem tekstu: roditelji)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skrbi</w:t>
      </w:r>
      <w:proofErr w:type="gramEnd"/>
      <w:r>
        <w:rPr>
          <w:color w:val="231F20"/>
        </w:rPr>
        <w:t xml:space="preserve"> se o profesionalnom razvoju odgojno-obrazovnih radnika u području darovitosti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osigurava</w:t>
      </w:r>
      <w:proofErr w:type="gramEnd"/>
      <w:r>
        <w:rPr>
          <w:color w:val="231F20"/>
        </w:rPr>
        <w:t xml:space="preserve"> povezanost djelovanja svih sudionika u provedbi individualiziranoga kurikula za darovito dijete/učenika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sudjeluje</w:t>
      </w:r>
      <w:proofErr w:type="gramEnd"/>
      <w:r>
        <w:rPr>
          <w:color w:val="231F20"/>
        </w:rPr>
        <w:t xml:space="preserve"> u postupku kojim darovito dijete/učenik završava određeni stupanj obrazovanja u razdoblju kraćem od propisanoga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vodi</w:t>
      </w:r>
      <w:proofErr w:type="gramEnd"/>
      <w:r>
        <w:rPr>
          <w:color w:val="231F20"/>
        </w:rPr>
        <w:t xml:space="preserve"> evidenciju u e-Matici – zajedničkom elektroničkom upisniku ustanova (u daljnjem tekstu: e-Matica), i/ili pohranjuje dokumentaciju o darovitoj djeci/učenicima u mapu ili e-portfolio darovitoga djeteta/učenika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izvješćuje</w:t>
      </w:r>
      <w:proofErr w:type="gramEnd"/>
      <w:r>
        <w:rPr>
          <w:color w:val="231F20"/>
        </w:rPr>
        <w:t xml:space="preserve"> stručno vijeće (odgojiteljsko/učiteljsko/nastavničko/odgajateljsko) odgojno-obrazovne ustanove o razvojnom statusu, odnosno postignutim rezultatima darovitoga djeteta/učenika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planira</w:t>
      </w:r>
      <w:proofErr w:type="gramEnd"/>
      <w:r>
        <w:rPr>
          <w:color w:val="231F20"/>
        </w:rPr>
        <w:t>, organizira i ostvaruje suradnju s roditeljima darovite djece/učenika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− planira, organizira i ostvaruje suradnju s vanjskim stručnjacima u postupku zapažanja i utvrđivanja darovitosti te u provođenju zajedničkih aktivnosti namijenjenih darovitoj djeci/učenicima; osmišljava projekte i programe izvrsnosti i prijavljuje ih na natječaje i pozive; prati i vrednuje ostvarivanje i kvalitetu individualiziranoga kurikula s darovitom djecom/učenicima te ga prema potrebi unaprjeđuje.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(5) Tim za darovite koristi se relevantnom dokumentacijom koja uključuje i mišljenja roditelja, odgojitelja, učitelja, nastavnika, odgajatelja, stručnih suradnika i drugih stručnjaka – realizatora programa u koje je darovito dijete/učenik uključen u odgojno-obrazovnoj ustanovi i izvan nje.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(6) U postupku utvrđivanja darovitosti koriste se psihologijski testovi općih i specifičnih sposobnosti namijenjeni za skupnu i individualnu primjenu, instrumenti za ispitivanje kreativnosti i osobina ličnosti, instrumenti za mjerenje postignuća, intervjui, skale procjena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skale za samoprocjenu darovitosti.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(7) Temeljem zapažanja i procjenjivanja darovitosti djece/učenika Tim za darovite daje mišljenje i prijedlog o utvrđenoj darovitosti djeteta/učenika za pojedino područje iz članka 2.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(8) Temeljem mišljenja i prijedloga Tima za darovite ravnatelj odgojno-obrazovne ustanove donosi odluku o utvrđenoj darovitosti djeteta/učenika u jednome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više odgojno-obrazovnih područja.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(9) Odluka iz stavka 8.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sadrži oblik/oblike odgojno-obrazovne potpore iz članka 6.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Pravilnika.</w:t>
      </w: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TREĆI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POTICANJE RAZVOJA DAROVITOSTI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Poticanje darovite djece i učenika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6.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Radi poticanja razvoja darovitosti djece i učenika, a temeljem ravnateljeve odluke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8.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Pravilnika, darovitom djetetu/učeniku tijekom odgojno-obrazovnoga procesa odgojno-obrazovna ustanova može omogućiti neke: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gramStart"/>
      <w:r>
        <w:rPr>
          <w:color w:val="231F20"/>
        </w:rPr>
        <w:t>oblike</w:t>
      </w:r>
      <w:proofErr w:type="gramEnd"/>
      <w:r>
        <w:rPr>
          <w:color w:val="231F20"/>
        </w:rPr>
        <w:t xml:space="preserve"> odgojno-obrazovne potpore u sklopu redovitoga odgojno-obrazovnog rada / nastave: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rad</w:t>
      </w:r>
      <w:proofErr w:type="gramEnd"/>
      <w:r>
        <w:rPr>
          <w:color w:val="231F20"/>
        </w:rPr>
        <w:t xml:space="preserve"> prema individualiziranom kurikulu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individualni</w:t>
      </w:r>
      <w:proofErr w:type="gramEnd"/>
      <w:r>
        <w:rPr>
          <w:color w:val="231F20"/>
        </w:rPr>
        <w:t xml:space="preserve"> rad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rad</w:t>
      </w:r>
      <w:proofErr w:type="gramEnd"/>
      <w:r>
        <w:rPr>
          <w:color w:val="231F20"/>
        </w:rPr>
        <w:t xml:space="preserve"> u odgojno-obrazovnoj skupini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rad</w:t>
      </w:r>
      <w:proofErr w:type="gramEnd"/>
      <w:r>
        <w:rPr>
          <w:color w:val="231F20"/>
        </w:rPr>
        <w:t xml:space="preserve"> s mentorom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izborne</w:t>
      </w:r>
      <w:proofErr w:type="gramEnd"/>
      <w:r>
        <w:rPr>
          <w:color w:val="231F20"/>
        </w:rPr>
        <w:t xml:space="preserve"> i/ili fakultativne predmete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gramStart"/>
      <w:r>
        <w:rPr>
          <w:color w:val="231F20"/>
        </w:rPr>
        <w:t>oblike</w:t>
      </w:r>
      <w:proofErr w:type="gramEnd"/>
      <w:r>
        <w:rPr>
          <w:color w:val="231F20"/>
        </w:rPr>
        <w:t xml:space="preserve"> odgojno-obrazovne potpore izvan redovitoga odgojno-obrazovnog rada / nastave: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izvannastavne</w:t>
      </w:r>
      <w:proofErr w:type="gramEnd"/>
      <w:r>
        <w:rPr>
          <w:color w:val="231F20"/>
        </w:rPr>
        <w:t xml:space="preserve"> i izvanškolske aktivnosti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izvanškolski</w:t>
      </w:r>
      <w:proofErr w:type="gramEnd"/>
      <w:r>
        <w:rPr>
          <w:color w:val="231F20"/>
        </w:rPr>
        <w:t xml:space="preserve"> programi izvrsnosti koji se ostvaruju seminarima, ljetnim i zimskim školama, kampovima za darovite, učeničkim skupinama, učenjem putem interneta na lokalnoj, područnoj, nacionalnoj i međunarodnoj razini u suradnji škole sa znanstveno-istraživačkim ustanovama, regionalnim znanstvenim centrima, centrima izvrsnosti, gospodarskim subjektima, istaknutim stručnjacima za pojedino područje te različitim udrugama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sudjelovanje</w:t>
      </w:r>
      <w:proofErr w:type="gramEnd"/>
      <w:r>
        <w:rPr>
          <w:color w:val="231F20"/>
        </w:rPr>
        <w:t xml:space="preserve"> na državnim i međunarodnim natjecanjima i smotrama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rad</w:t>
      </w:r>
      <w:proofErr w:type="gramEnd"/>
      <w:r>
        <w:rPr>
          <w:color w:val="231F20"/>
        </w:rPr>
        <w:t xml:space="preserve"> s mentorom izvan odgojno-obrazovne ustanove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c) </w:t>
      </w:r>
      <w:proofErr w:type="gramStart"/>
      <w:r>
        <w:rPr>
          <w:color w:val="231F20"/>
        </w:rPr>
        <w:t>ostale</w:t>
      </w:r>
      <w:proofErr w:type="gramEnd"/>
      <w:r>
        <w:rPr>
          <w:color w:val="231F20"/>
        </w:rPr>
        <w:t xml:space="preserve"> oblike odgojno-obrazovne potpore: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prijevremeni</w:t>
      </w:r>
      <w:proofErr w:type="gramEnd"/>
      <w:r>
        <w:rPr>
          <w:color w:val="231F20"/>
        </w:rPr>
        <w:t xml:space="preserve"> upis u osnovnoškolski program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akceleraciju</w:t>
      </w:r>
      <w:proofErr w:type="gramEnd"/>
      <w:r>
        <w:rPr>
          <w:color w:val="231F20"/>
        </w:rPr>
        <w:t xml:space="preserve"> ili završavanje razreda u roku kraćem od propisanoga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završavanje</w:t>
      </w:r>
      <w:proofErr w:type="gramEnd"/>
      <w:r>
        <w:rPr>
          <w:color w:val="231F20"/>
        </w:rPr>
        <w:t xml:space="preserve"> određenog stupnja obrazovanja u razdoblju kraćem od propisanoga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suradnju</w:t>
      </w:r>
      <w:proofErr w:type="gramEnd"/>
      <w:r>
        <w:rPr>
          <w:color w:val="231F20"/>
        </w:rPr>
        <w:t xml:space="preserve"> sa stručnjacima iz područja djetetova/učenikova interesa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pristup</w:t>
      </w:r>
      <w:proofErr w:type="gramEnd"/>
      <w:r>
        <w:rPr>
          <w:color w:val="231F20"/>
        </w:rPr>
        <w:t xml:space="preserve"> izvorima specifičnoga znanja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− </w:t>
      </w:r>
      <w:proofErr w:type="gramStart"/>
      <w:r>
        <w:rPr>
          <w:color w:val="231F20"/>
        </w:rPr>
        <w:t>programi</w:t>
      </w:r>
      <w:proofErr w:type="gramEnd"/>
      <w:r>
        <w:rPr>
          <w:color w:val="231F20"/>
        </w:rPr>
        <w:t xml:space="preserve"> o izboru profesije i karijere i sl.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Odgojno-obrazovna potpora darovitom učeniku u provedbi izvanškolskih programa izvrsnosti može biti pružena u regionalnim znanstvenim centrima, regionalnim centrima kompetentnosti i centrima izvrsnosti kao specijaliziranim javnim ustanovama koje raspolažu stručnim i materijalnim resursima potrebnim za pružanje kvalitetne potpore darovitim učenicima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odgojno-obrazovnim radnicima.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Odgojno-obrazovna potpora darovitom učeniku u provedbi izvanškolskih programa izvrsnosti može biti pružena u glazbenim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plesnim školama kao specijaliziranim javnim ustanovama koje raspolažu stručnim i materijalnim resursima potrebnim za pružanje kvalitetne potpore darovitim učenicima te odgojno-obrazovnim radnicima.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Razlikovnost i individualizirani kurikul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7.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Razlikovnost podrazumijeva obogaćivanje i proširivanje sadržaja učenja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prilagodbu procesa učenja, proizvoda učenja te okružja učenja odgojno-obrazovnim potrebama darovite djece/učenika.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Individualizirani kurikul podrazumijeva unošenje razlikovnosti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u predškolske programe te predmetne/modularne kurikule i kurikule međupredmetnih tema.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Izrađen kurikul iz stavka 2.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Tim za darovite dužan je dati na uvid roditelju djeteta/učenika tijekom prvoga tromjesečja pedagoške/školske godine, odnosno tijekom prvoga obrazovnog razdoblja.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Individualizirani kurikul za darovitu djecu predškolske dobi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8.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Individualizirani kurikul darovitoga djeteta predškolske dobi izrađuje Tim za darovite odgojno-obrazovne ustanove koja provodi predškolske programe u suradnji s odgojiteljima za darovito dijete.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Individualizirani kurikul darovitoga djeteta predškolske dobi temelji se na individualnim razvojnim potrebama i unošenju razlikovnosti u pristup, sadržaje, metode, materijale i okružje za igru i učenje, a podrazumijeva prilagodbu pristupa učenja i poučavanja, sadržaja i metoda, ishoda, tempa i okružja učenja djetetovim izraženim interesima, sklonostima i sposobnostima radi razvoja darovitosti i djetetova napretka.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Individualizirani kurikul darovitoga djeteta s teškoćama u razvoju predškolske dobi temelji se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ranoj formalnoj i neformalnoj identifikaciji darovitosti i teškoće te u većoj mjeri uključuje i alternativne metode učenja i komunikacije kao i podršku darovitosti, a ne samo prevladavanju razvojnih teškoća.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(4) Individualizirani kurikul darovitoga djeteta izrađen u pred</w:t>
      </w:r>
      <w:r>
        <w:rPr>
          <w:color w:val="231F20"/>
        </w:rPr>
        <w:softHyphen/>
        <w:t>školskoj dobi prenosi se pri upisu u osnovnoškolsku odgojno-ob</w:t>
      </w:r>
      <w:r>
        <w:rPr>
          <w:color w:val="231F20"/>
        </w:rPr>
        <w:softHyphen/>
        <w:t>razovnu ustanovu i postaje relevantna dokumentacija za donošenje rješenja o primjerenom programu osnovnoga obrazovanja za darovite učenike s teškoćama u razvoju upravnoga tijela u županiji nadležnoga za poslove obrazovanja, odnosno Gradskoga ureda Grada Zagreba nadležnoga za poslove obrazovanja (u daljnjem tekstu: Upravni odjel, odnosno Gradski ured) i/ili odluke o utvrđenoj darovitosti.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(5) Darovita djeca predškolske dobi mogu pohađati odgojno-ob</w:t>
      </w:r>
      <w:r>
        <w:rPr>
          <w:color w:val="231F20"/>
        </w:rPr>
        <w:softHyphen/>
        <w:t xml:space="preserve">razovnu skupinu prema redovitom programu predškolskoga odgoja s određenim stupnjem obogaćivanja i razlikovnosti u pristupu učenju i poučavanju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odgojno-obrazovnu skupinu s individualiziranim kurikulom za darovite koji u većoj mjeri potiče darovitost u određenom području.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(6) Djeca predškolske dobi u koje je utvrđena darovitost mogu biti uključena u male homogene skupine djece istih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sličnih intelektualnih sposobnosti izvan redovitoga programa predškolskoga odgoja, odnosno u kraći specijalizirani program za darovite.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Individualizirani kurikul za darovite učenike osnovnoškolske i srednjoškolske dobi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9.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Individualizirani kurikul za darovitoga učenika i darovitoga učenika s teškoćama u razvoju osnovnoškolske i srednjoškolske dobi izrađuje Tim za darovite i provodi se tijekom osnovnoškolskoga i srednjoškolskog obrazovanja.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Individualizirani kurikul sadrži izmjene koje se odnose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odgojno-obrazovne ishode (očekivanja), na pristup učenju i poučava</w:t>
      </w:r>
      <w:r>
        <w:rPr>
          <w:color w:val="231F20"/>
        </w:rPr>
        <w:softHyphen/>
        <w:t>nju, na produkte, tempo i okružje učenja te je prilagođen odgojno-obrazovnim potrebama učenika.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(3) Individualizirani kurikul za darovitoga učenika provodi se tijekom redovite nastave, rada u odgojno-obrazovnoj skupini, samostalnoga rada i individualnoga rada s mentorom.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Individualizirani kurikul izrađuje se nakon donošenja odluke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8.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Pravilnika, odnosno do kraja prvoga obrazovnog razdoblja za svaku školsku godinu.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(5) Individualizirani kurikul za darovite učenike osnovnoškolske i srednjoškolske dobi sastavni je dio školskoga kurikula / kurikula ustanove.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Ustroj posebnoga razrednog odjela / odgojno-obrazovne skupine za darovite učenike s teškoćama u razvoju u školskoj ustanovi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10.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(1) Odgojno-obrazovnu skupinu čine daroviti učenici podjednake obrazovne razine.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(2) U odgojno-obrazovnoj skupini optimalno je uključeno do pet učenika.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Kada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određenome upisnom području postoji od tri do pet učenika kojima je utvrđena darovitost i teškoće u razvoju iz članka 2.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3.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 te imaju rješenje o primjerenom programu osnovnoga ili srednjeg obrazovanja za učenike s teškoćama u razvoju i odluku iz članka 5. </w:t>
      </w:r>
      <w:proofErr w:type="gramStart"/>
      <w:r>
        <w:rPr>
          <w:color w:val="231F20"/>
        </w:rPr>
        <w:t>stavka</w:t>
      </w:r>
      <w:proofErr w:type="gramEnd"/>
      <w:r>
        <w:rPr>
          <w:color w:val="231F20"/>
        </w:rPr>
        <w:t xml:space="preserve"> 8.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Pravilnika, uz prethodnu suglasnost ministarstva nadležnoga za obrazovanje, posebni razredni odjeli mogu biti ustrojeni kao kombinirani razredni odjeli od I. do IV. </w:t>
      </w:r>
      <w:proofErr w:type="gramStart"/>
      <w:r>
        <w:rPr>
          <w:color w:val="231F20"/>
        </w:rPr>
        <w:t>razreda</w:t>
      </w:r>
      <w:proofErr w:type="gramEnd"/>
      <w:r>
        <w:rPr>
          <w:color w:val="231F20"/>
        </w:rPr>
        <w:t xml:space="preserve"> ili od V. do VIII. </w:t>
      </w:r>
      <w:proofErr w:type="gramStart"/>
      <w:r>
        <w:rPr>
          <w:color w:val="231F20"/>
        </w:rPr>
        <w:t>razreda</w:t>
      </w:r>
      <w:proofErr w:type="gramEnd"/>
      <w:r>
        <w:rPr>
          <w:color w:val="231F20"/>
        </w:rPr>
        <w:t xml:space="preserve"> odgojno-obrazovne ustanove koja provodi osnovnoškolsko obrazovanje (u daljnjem tekstu: osnovna škola) i od I. do završnoga razreda odgojno-obrazovne ustanove koja provodi srednjoškolsko obrazovanje (u daljnjem tekstu: srednja škola).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Iznimno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stavka 3.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članka, uz prethodnu suglasnost ministarstva nadležnoga za obrazovanje, posebni razredni odjeli mogu biti ustrojeni kao kombinirani razredni odjeli od I. do VIII. </w:t>
      </w:r>
      <w:proofErr w:type="gramStart"/>
      <w:r>
        <w:rPr>
          <w:color w:val="231F20"/>
        </w:rPr>
        <w:t>razreda</w:t>
      </w:r>
      <w:proofErr w:type="gramEnd"/>
      <w:r>
        <w:rPr>
          <w:color w:val="231F20"/>
        </w:rPr>
        <w:t xml:space="preserve"> osnovne škole.</w:t>
      </w: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ČETVRTI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ZAVRŠAVANJE STUPNJA OBRAZOVANJA U RAZDOBLJU KRAĆEM OD PROPISANOGA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Prijevremeni upis darovitoga djeteta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11.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Prijevremenim upisom u osnovnu školu darovito dijete predškolske dobi završava stupanj obrazovanja u razdoblju kraćem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propisanoga.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(2) Prijevremeni upis darovitoga djeteta predškolske dobi u osnovnu školu provodi se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prijedlog Tima za darovite uz suglasnost roditelja za darovito dijete koje nije školski obveznik, a ima stručno utvrđenu visoku razinu općih sposobnosti i usvojenosti specifičnih vještina iznad očekivane za dob te pokazuje primjerenu razinu socio-emocionalne zrelosti, samostalnosti i socijalizacije.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Završavanje razreda u kraćem razdoblju (akceleracija)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12.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Daroviti učenik može završiti razred u razdoblju kraćem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propisanoga i prijeći u viši razred, odnosno može završiti dva razreda tijekom jedne školske godine.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(2) Postupak završavanja razreda u razdoblju kraćem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propisanoga (u daljnjem tekstu: akceleracija) iz stavka 1. </w:t>
      </w:r>
      <w:proofErr w:type="gramStart"/>
      <w:r>
        <w:rPr>
          <w:color w:val="231F20"/>
        </w:rPr>
        <w:t>ovoga</w:t>
      </w:r>
      <w:proofErr w:type="gramEnd"/>
      <w:r>
        <w:rPr>
          <w:color w:val="231F20"/>
        </w:rPr>
        <w:t xml:space="preserve"> članka mogu pokrenuti: razredni i predmetni učitelj/nastavnik, mentor darovitoga učenika, Tim za darovite ili roditelj.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(3) Zahtjev roditelja za akceleracijom dostavlja se Timu za darovite, koji prikuplja podatke o učeniku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 xml:space="preserve"> temeljem psihologijske procjene, iskaza roditelja o osobnome i socijalnom statusu učenika, mišljenja učenika, mišljenja učitelja/nastavnika i stručnoga suradnika pedagoga o odgojno-obrazovnom statusu darovitoga učenika o tome obavješćuje učiteljsko/nastavničko vijeće.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(4) Učenik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I. do III. </w:t>
      </w:r>
      <w:proofErr w:type="gramStart"/>
      <w:r>
        <w:rPr>
          <w:color w:val="231F20"/>
        </w:rPr>
        <w:t>razreda</w:t>
      </w:r>
      <w:proofErr w:type="gramEnd"/>
      <w:r>
        <w:rPr>
          <w:color w:val="231F20"/>
        </w:rPr>
        <w:t xml:space="preserve"> osnovne škole može završiti dva razreda u jednoj školskoj godini ako se temeljem objektivnoga ispitivanja čitanja s razumijevanjem, pismenosti i matematičkoga znanja i znanja iz drugih nastavnih predmeta utvrdi da je razina njegova znanja jednaka ili viša od razine znanja učenika sljedećega višeg razreda od onoga koji učenik pohađa.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(5) Učenik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IV. </w:t>
      </w:r>
      <w:proofErr w:type="gramStart"/>
      <w:r>
        <w:rPr>
          <w:color w:val="231F20"/>
        </w:rPr>
        <w:t>do</w:t>
      </w:r>
      <w:proofErr w:type="gramEnd"/>
      <w:r>
        <w:rPr>
          <w:color w:val="231F20"/>
        </w:rPr>
        <w:t xml:space="preserve"> VIII. </w:t>
      </w:r>
      <w:proofErr w:type="gramStart"/>
      <w:r>
        <w:rPr>
          <w:color w:val="231F20"/>
        </w:rPr>
        <w:t>razreda</w:t>
      </w:r>
      <w:proofErr w:type="gramEnd"/>
      <w:r>
        <w:rPr>
          <w:color w:val="231F20"/>
        </w:rPr>
        <w:t xml:space="preserve"> osnovne škole i učenik od I. do završnoga razreda srednje škole može u jednoj školskoj godini završiti dva razreda polaganjem razrednoga ispita.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(6) Temeljem prijedloga učiteljskoga/nastavničkoga vijeća ravnatelj osnovne/srednje škole donosi odluku o akceleraciji.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(7) Osnovna/srednja škola dužna je evidentirati akceleraciju učenika putem e-Matice.</w:t>
      </w: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PETI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PRAĆENJE I VREDNOVANJE DAROVITE DJECE I UČENIKA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Praćenje razvoja i napretka darovite djece i učenika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13.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Praćenje razvoja i napretka darovite djece/učenika provodi se radi vrednovanja postignuća darovite djece/učenika, kao i vrednovanja primjerenosti i učinkovitosti odgojno-obrazovne potpore osigurane darovitom djetetu/učeniku,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</w:rPr>
        <w:t>, po potrebi, pravodobne promjene oblika stručne, programske i organizacijske potpore kako bi ona, u najvećoj mogućoj mjeri, bila prilagođena odgojno-obrazovnim potrebama darovitoga djeteta/učenika.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 xml:space="preserve">Sadržaj mape </w:t>
      </w:r>
      <w:proofErr w:type="gramStart"/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ili</w:t>
      </w:r>
      <w:proofErr w:type="gramEnd"/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 xml:space="preserve"> e-portfolia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14.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(1) Mapa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e-portfolio darovitoga djeteta/učenika sadrži izvješće o utvrđivanju darovitosti djeteta/učenika (opis razvojnoga statusa/rezultata i mišljenje), zapažanja o odgojno-obrazovnom napretku darovitoga djeteta/učenika, bilješke razgovora s roditeljima, mišljenje psihologa o razvojnom statusu djeteta/učenika, ljestvice procjena, razvojne upitnike i sl., značajne zaključke i odluke te ostalu relevantnu dokumentaciju.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(2) Osnovna/srednja škola dužna je za upisane darovite učenike zatražiti mapu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</w:rPr>
        <w:t xml:space="preserve"> e-portfolio darovitoga djeteta/učenika od predškolske, odnosno osnovnoškolske, ustanove iz koje dijete/učenik dolazi, a ona ju je na traženje dužna dostaviti.</w:t>
      </w:r>
    </w:p>
    <w:p w:rsidR="00762728" w:rsidRDefault="00762728" w:rsidP="00762728">
      <w:pPr>
        <w:pStyle w:val="box479917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ŠESTI DIO</w:t>
      </w:r>
      <w:r>
        <w:rPr>
          <w:rFonts w:ascii="Minion Pro" w:hAnsi="Minion Pro"/>
          <w:color w:val="231F20"/>
          <w:sz w:val="26"/>
          <w:szCs w:val="26"/>
        </w:rPr>
        <w:br/>
      </w:r>
      <w:r>
        <w:rPr>
          <w:color w:val="231F20"/>
          <w:sz w:val="26"/>
          <w:szCs w:val="26"/>
        </w:rPr>
        <w:t>PRIJELAZNE I ZAVRŠNE ODREDBE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Prestanak važenja ranije važećih propisa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15.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Na dan stupanja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snagu ovoga Pravilnika prestaje važiti Pravilnik o osnovnoškolskom odgoju i obrazovanju darovitih učenika (»Narodne novine« broj 34/91) i Pravilnik o srednjoškolskom obrazovanju darovitih učenika (»Narodne novine« broj 90/93).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 xml:space="preserve">Stupanje </w:t>
      </w:r>
      <w:proofErr w:type="gramStart"/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>na</w:t>
      </w:r>
      <w:proofErr w:type="gramEnd"/>
      <w:r>
        <w:rPr>
          <w:rStyle w:val="kurziv"/>
          <w:rFonts w:ascii="Minion Pro" w:hAnsi="Minion Pro"/>
          <w:i/>
          <w:iCs/>
          <w:color w:val="231F20"/>
          <w:sz w:val="26"/>
          <w:szCs w:val="26"/>
          <w:bdr w:val="none" w:sz="0" w:space="0" w:color="auto" w:frame="1"/>
        </w:rPr>
        <w:t xml:space="preserve"> snagu</w:t>
      </w:r>
    </w:p>
    <w:p w:rsidR="00762728" w:rsidRDefault="00762728" w:rsidP="00762728">
      <w:pPr>
        <w:pStyle w:val="box479917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proofErr w:type="gramStart"/>
      <w:r>
        <w:rPr>
          <w:color w:val="231F20"/>
        </w:rPr>
        <w:t>Članak 16.</w:t>
      </w:r>
      <w:proofErr w:type="gramEnd"/>
    </w:p>
    <w:p w:rsidR="00762728" w:rsidRDefault="00762728" w:rsidP="00762728">
      <w:pPr>
        <w:pStyle w:val="box47991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Ovaj Pravilnik stupa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snagu osmoga dana od dana objave u »Narodnim novinama«.</w:t>
      </w:r>
    </w:p>
    <w:p w:rsidR="00762728" w:rsidRDefault="00762728" w:rsidP="00762728">
      <w:pPr>
        <w:pStyle w:val="box479917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011-02/24-01/00031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Urbroj: 533-06-24-0001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 xml:space="preserve">Zagreb, 16. </w:t>
      </w:r>
      <w:proofErr w:type="gramStart"/>
      <w:r>
        <w:rPr>
          <w:color w:val="231F20"/>
        </w:rPr>
        <w:t>travnja</w:t>
      </w:r>
      <w:proofErr w:type="gramEnd"/>
      <w:r>
        <w:rPr>
          <w:color w:val="231F20"/>
        </w:rPr>
        <w:t xml:space="preserve"> 2025.</w:t>
      </w:r>
    </w:p>
    <w:p w:rsidR="00F54A60" w:rsidRDefault="00F54A60"/>
    <w:sectPr w:rsidR="00F5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28"/>
    <w:rsid w:val="00762728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9917">
    <w:name w:val="box_479917"/>
    <w:basedOn w:val="Normal"/>
    <w:rsid w:val="007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urziv">
    <w:name w:val="kurziv"/>
    <w:basedOn w:val="DefaultParagraphFont"/>
    <w:rsid w:val="0076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9917">
    <w:name w:val="box_479917"/>
    <w:basedOn w:val="Normal"/>
    <w:rsid w:val="007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urziv">
    <w:name w:val="kurziv"/>
    <w:basedOn w:val="DefaultParagraphFont"/>
    <w:rsid w:val="0076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2732</Words>
  <Characters>15577</Characters>
  <Application>Microsoft Office Word</Application>
  <DocSecurity>0</DocSecurity>
  <Lines>129</Lines>
  <Paragraphs>36</Paragraphs>
  <ScaleCrop>false</ScaleCrop>
  <Company/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2025-05-13T07:33:00Z</dcterms:created>
  <dcterms:modified xsi:type="dcterms:W3CDTF">2025-05-13T07:34:00Z</dcterms:modified>
</cp:coreProperties>
</file>