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9F" w:rsidRPr="005B4D9F" w:rsidRDefault="005B4D9F" w:rsidP="005B4D9F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mirovinskoga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sustava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Na </w:t>
      </w:r>
      <w:proofErr w:type="spellStart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temelju</w:t>
      </w:r>
      <w:proofErr w:type="spellEnd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20.</w:t>
      </w:r>
      <w:proofErr w:type="gramEnd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stavka</w:t>
      </w:r>
      <w:proofErr w:type="spellEnd"/>
      <w:proofErr w:type="gramEnd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9. </w:t>
      </w:r>
      <w:proofErr w:type="spellStart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fldChar w:fldCharType="begin"/>
      </w:r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instrText xml:space="preserve"> HYPERLINK "https://www.zakon.hr/cms.htm?id=1524" </w:instrText>
      </w:r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fldChar w:fldCharType="separate"/>
      </w:r>
      <w:r w:rsidRPr="005B4D9F">
        <w:rPr>
          <w:rFonts w:ascii="Arial" w:eastAsia="Times New Roman" w:hAnsi="Arial" w:cs="Arial"/>
          <w:bCs/>
          <w:color w:val="000000" w:themeColor="text1"/>
          <w:sz w:val="21"/>
          <w:szCs w:val="21"/>
          <w:u w:val="single"/>
          <w:lang w:val="en-GB" w:eastAsia="en-GB"/>
        </w:rPr>
        <w:t>Zakona</w:t>
      </w:r>
      <w:proofErr w:type="spellEnd"/>
      <w:r w:rsidRPr="005B4D9F">
        <w:rPr>
          <w:rFonts w:ascii="Arial" w:eastAsia="Times New Roman" w:hAnsi="Arial" w:cs="Arial"/>
          <w:bCs/>
          <w:color w:val="000000" w:themeColor="text1"/>
          <w:sz w:val="21"/>
          <w:szCs w:val="21"/>
          <w:u w:val="single"/>
          <w:lang w:val="en-GB" w:eastAsia="en-GB"/>
        </w:rPr>
        <w:t xml:space="preserve"> o </w:t>
      </w:r>
      <w:proofErr w:type="spellStart"/>
      <w:r w:rsidRPr="005B4D9F">
        <w:rPr>
          <w:rFonts w:ascii="Arial" w:eastAsia="Times New Roman" w:hAnsi="Arial" w:cs="Arial"/>
          <w:bCs/>
          <w:color w:val="000000" w:themeColor="text1"/>
          <w:sz w:val="21"/>
          <w:szCs w:val="21"/>
          <w:u w:val="single"/>
          <w:lang w:val="en-GB" w:eastAsia="en-GB"/>
        </w:rPr>
        <w:t>zaštiti</w:t>
      </w:r>
      <w:proofErr w:type="spellEnd"/>
      <w:r w:rsidRPr="005B4D9F">
        <w:rPr>
          <w:rFonts w:ascii="Arial" w:eastAsia="Times New Roman" w:hAnsi="Arial" w:cs="Arial"/>
          <w:bCs/>
          <w:color w:val="000000" w:themeColor="text1"/>
          <w:sz w:val="21"/>
          <w:szCs w:val="21"/>
          <w:u w:val="single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bCs/>
          <w:color w:val="000000" w:themeColor="text1"/>
          <w:sz w:val="21"/>
          <w:szCs w:val="21"/>
          <w:u w:val="single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bCs/>
          <w:color w:val="000000" w:themeColor="text1"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bCs/>
          <w:color w:val="000000" w:themeColor="text1"/>
          <w:sz w:val="21"/>
          <w:szCs w:val="21"/>
          <w:u w:val="single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fldChar w:fldCharType="end"/>
      </w:r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 (»</w:t>
      </w:r>
      <w:proofErr w:type="spellStart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Narodne</w:t>
      </w:r>
      <w:proofErr w:type="spellEnd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novine</w:t>
      </w:r>
      <w:proofErr w:type="spellEnd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«, </w:t>
      </w:r>
      <w:proofErr w:type="spellStart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broj</w:t>
      </w:r>
      <w:proofErr w:type="spellEnd"/>
      <w:r w:rsidRPr="005B4D9F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71/14, </w:t>
      </w: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118/14, 94/18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96/18),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nadležan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donosi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5B4D9F" w:rsidRPr="005B4D9F" w:rsidRDefault="005B4D9F" w:rsidP="005B4D9F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44"/>
          <w:szCs w:val="27"/>
          <w:lang w:val="en-GB" w:eastAsia="en-GB"/>
        </w:rPr>
      </w:pPr>
      <w:r w:rsidRPr="005B4D9F">
        <w:rPr>
          <w:rFonts w:ascii="Arial" w:eastAsia="Times New Roman" w:hAnsi="Arial" w:cs="Arial"/>
          <w:b/>
          <w:bCs/>
          <w:caps/>
          <w:color w:val="414145"/>
          <w:sz w:val="44"/>
          <w:szCs w:val="27"/>
          <w:lang w:val="en-GB" w:eastAsia="en-GB"/>
        </w:rPr>
        <w:t>PRAVILNIK O OBAVLJANJU POSLOVA ZAŠTITE NA RADU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</w:pPr>
      <w:bookmarkStart w:id="0" w:name="_GoBack"/>
      <w:bookmarkEnd w:id="0"/>
      <w:r w:rsidRPr="005B4D9F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(</w:t>
      </w:r>
      <w:proofErr w:type="spellStart"/>
      <w:r w:rsidRPr="005B4D9F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N</w:t>
      </w:r>
      <w:r w:rsidRPr="005B4D9F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arodne</w:t>
      </w:r>
      <w:proofErr w:type="spellEnd"/>
      <w:r w:rsidRPr="005B4D9F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novine</w:t>
      </w:r>
      <w:proofErr w:type="spellEnd"/>
      <w:r w:rsidRPr="005B4D9F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, br.</w:t>
      </w:r>
      <w:r w:rsidRPr="005B4D9F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 </w:t>
      </w:r>
      <w:hyperlink r:id="rId5" w:history="1">
        <w:r w:rsidRPr="005B4D9F">
          <w:rPr>
            <w:rFonts w:ascii="Arial" w:eastAsia="Times New Roman" w:hAnsi="Arial" w:cs="Arial"/>
            <w:b/>
            <w:bCs/>
            <w:color w:val="000000" w:themeColor="text1"/>
            <w:sz w:val="28"/>
            <w:szCs w:val="21"/>
            <w:lang w:val="en-GB" w:eastAsia="en-GB"/>
          </w:rPr>
          <w:t>126/19</w:t>
        </w:r>
      </w:hyperlink>
      <w:r w:rsidRPr="005B4D9F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, </w:t>
      </w:r>
      <w:hyperlink r:id="rId6" w:history="1">
        <w:r w:rsidRPr="005B4D9F">
          <w:rPr>
            <w:rFonts w:ascii="Arial" w:eastAsia="Times New Roman" w:hAnsi="Arial" w:cs="Arial"/>
            <w:b/>
            <w:bCs/>
            <w:color w:val="000000" w:themeColor="text1"/>
            <w:sz w:val="28"/>
            <w:szCs w:val="21"/>
            <w:lang w:val="en-GB" w:eastAsia="en-GB"/>
          </w:rPr>
          <w:t>154/22</w:t>
        </w:r>
      </w:hyperlink>
      <w:r w:rsidRPr="005B4D9F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)</w:t>
      </w:r>
    </w:p>
    <w:p w:rsid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uređuje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utvrđuju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uvjeti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njihovo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Izrazi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koriste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a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imaju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rodno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značenje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koriste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neutralno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odnose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jednako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muški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ženski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rod.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</w:t>
      </w:r>
      <w:proofErr w:type="gramEnd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ispunjava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uvjete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propisane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odnosno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njegov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ovlaštenik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skladu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odredbama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može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ovisno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djelatnosti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I.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II.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 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odnosno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njegov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ovlaštenik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moraju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imati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odgovarajuće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obrazovanje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područja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tehničkih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biotehničkih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prirodnih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znanosti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drugog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područja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odgovara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djelatnosti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moraju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ispunjavati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obveze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stalnog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usavršavanja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osposobljavanja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skladu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propisima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I.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srednju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školsku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srednju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spremu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</w:t>
      </w:r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položila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opći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ispita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srednju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školsku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srednju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spremu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priznat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joj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status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posjeduje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uvjerenje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položenom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specijalističkom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usavršavanju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programu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odobrenom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tijela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nadležnog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obrazovanje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II.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završen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preddiplomski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studij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stečenim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prvostupnik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(baccalaureus)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</w:t>
      </w:r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položila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opći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posebni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ispita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priznat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status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zapošljava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uključivo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49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može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on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njegov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ovlaštenik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ako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ispunjava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uvjete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I.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</w:t>
      </w:r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stekao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potrebna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tijekom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školovanja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3) </w:t>
      </w:r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</w:t>
      </w:r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položio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državni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ispit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građenja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projektiranja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obuhvaćena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materija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</w:t>
      </w:r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</w:t>
      </w:r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položio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majstorski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ispit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djelatnosti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kojemu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bila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obuhvaćena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5.</w:t>
      </w:r>
      <w:proofErr w:type="gramEnd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može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ugovoriti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ovlaštenom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slučaju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objektivnih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opravdanih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razloga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smatraju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započinjanje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djelatnosti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trajanju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najviše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tri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mjeseca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 dana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nastupila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obveza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propisa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nepredvidivi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razlozi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smrt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otkaz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sl.)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zbog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privremeno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ostane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bez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trajanju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najviše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tri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mjeseca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 dana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nastupili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razlozi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3) 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ako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zapošljava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 50 do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uključivo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249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među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radnicima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zaposlenim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neodređeno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vrijeme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potrebnom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spremom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polaganje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ispita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ako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dodatno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zapošljava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sezonski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privremeno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koristi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ustupljene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privremeno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što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povećava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skladu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čemu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takvo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zapošljavanje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traje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duže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šest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mjeseci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neprekidno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a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prekid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kraći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mjeseca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ne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smatra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prekidom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navedenog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razdoblja</w:t>
      </w:r>
      <w:proofErr w:type="spell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5)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ako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zapošljava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uključivo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49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može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organizirati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jer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ispunjava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uvjete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kojega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ovlaštena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odredila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obvezan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mjestima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Nakon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obavljenih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ovlaštene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obvezno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pisanom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obliku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obavještava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utvrđenom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stanju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mjerama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unaprjeđenje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6.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zapošljava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uključivo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49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I.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skladu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odredbama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odnosno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njegov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ovlaštenik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skladu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odredbama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7.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zapošljava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50 do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uključivo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249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II.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Iznimno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odredbe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zapošljava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 50 do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uključivo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249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kojeg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80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posto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isključivo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malim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rizicima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može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I.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8.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zapošljava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250 do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uključivo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499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II.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I.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a do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svakih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sljedećih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500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još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II.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Iznimno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odredbe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ako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kod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80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posto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isključivo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malim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rizicima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može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II.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a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svakih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sljedećih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2000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još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najmanje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jedan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II.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stupnja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9.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Kada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više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posluju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istoj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lokaciji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međusobno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ugovaraju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organiziranje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provođenje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pod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pojmom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lokacije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smatra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istoj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adresi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istoj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građevini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odnosno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više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različitih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građevina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može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značiti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različite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kućne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brojeve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)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nalaze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ograđenom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prostoru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poslovni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krug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).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10.</w:t>
      </w:r>
      <w:proofErr w:type="gramEnd"/>
      <w:r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odredio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stručnjak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ovlaštenik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odnosno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poslodavac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),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provedbe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stalnog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usavršavanja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osposobljavanja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obavještavanja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razmjene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informacija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području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upisuje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Registar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osposobljavanja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usavršavanja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Uputama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pristup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elektroničkoj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usluzi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objavljuju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mrežnim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stranicama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nadležnog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11.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Primjer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malim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rizicima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kao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okvirna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smjernica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naveden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u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izradi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procjene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rizika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  <w:proofErr w:type="gramEnd"/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12.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Danom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stupanja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snagu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prestaje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važiti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poslova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zaštite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(»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Narodne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novine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«,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112/14, 43/15, 72/15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140/15).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13.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Ovaj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stupa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snagu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osmoga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dana od dana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objave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»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Narodnim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novinama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«.</w:t>
      </w:r>
    </w:p>
    <w:p w:rsidR="005B4D9F" w:rsidRPr="005B4D9F" w:rsidRDefault="005B4D9F" w:rsidP="005B4D9F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proofErr w:type="spellStart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Prijelazne</w:t>
      </w:r>
      <w:proofErr w:type="spellEnd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i</w:t>
      </w:r>
      <w:proofErr w:type="spellEnd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završne</w:t>
      </w:r>
      <w:proofErr w:type="spellEnd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odredbe</w:t>
      </w:r>
      <w:proofErr w:type="spellEnd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>iz</w:t>
      </w:r>
      <w:proofErr w:type="spellEnd"/>
      <w:r w:rsidRPr="005B4D9F"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  <w:t xml:space="preserve"> NN 154/22</w:t>
      </w:r>
    </w:p>
    <w:p w:rsidR="005B4D9F" w:rsidRPr="005B4D9F" w:rsidRDefault="005B4D9F" w:rsidP="005B4D9F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</w:t>
      </w:r>
      <w:proofErr w:type="gramEnd"/>
    </w:p>
    <w:p w:rsidR="005B4D9F" w:rsidRPr="005B4D9F" w:rsidRDefault="005B4D9F" w:rsidP="005B4D9F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Ovaj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stupa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snagu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osmoga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dana od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objave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»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Narodnim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novinama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«,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osim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odredbi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Pravilnika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koje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stupaju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snagu</w:t>
      </w:r>
      <w:proofErr w:type="spell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svibnja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2023. </w:t>
      </w:r>
      <w:proofErr w:type="spellStart"/>
      <w:proofErr w:type="gramStart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spellEnd"/>
      <w:proofErr w:type="gramEnd"/>
      <w:r w:rsidRPr="005B4D9F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9F"/>
    <w:rsid w:val="005B4D9F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55261" TargetMode="External"/><Relationship Id="rId5" Type="http://schemas.openxmlformats.org/officeDocument/2006/relationships/hyperlink" Target="https://www.zakon.hr/cms.htm?id=428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2024-11-27T14:45:00Z</dcterms:created>
  <dcterms:modified xsi:type="dcterms:W3CDTF">2024-11-27T14:47:00Z</dcterms:modified>
</cp:coreProperties>
</file>