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MINISTARSTVO ZNANOSTI, OBRAZOVANJA I MLADIH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Na temelju članka 52.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 xml:space="preserve">Zakona o sustavu državne uprave (»Narodne novine«, broj 66/19 i 155/23) </w:t>
      </w:r>
      <w:r w:rsidRPr="003D2907">
        <w:rPr>
          <w:rFonts w:ascii="Arial" w:hAnsi="Arial" w:cs="Arial"/>
          <w:color w:val="000000" w:themeColor="text1"/>
          <w:sz w:val="21"/>
          <w:szCs w:val="21"/>
        </w:rPr>
        <w:t>i članka 48.</w:t>
      </w:r>
      <w:proofErr w:type="gramEnd"/>
      <w:r w:rsidRPr="003D290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3D2907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gramEnd"/>
      <w:r w:rsidRPr="003D2907">
        <w:rPr>
          <w:rFonts w:ascii="Arial" w:hAnsi="Arial" w:cs="Arial"/>
          <w:color w:val="000000" w:themeColor="text1"/>
          <w:sz w:val="21"/>
          <w:szCs w:val="21"/>
        </w:rPr>
        <w:t xml:space="preserve"> 3. </w:t>
      </w:r>
      <w:hyperlink r:id="rId5" w:history="1">
        <w:r w:rsidRPr="003D2907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>Zakona o plaćama u državnoj službi i javnim službama</w:t>
        </w:r>
      </w:hyperlink>
      <w:r w:rsidRPr="003D2907">
        <w:rPr>
          <w:rFonts w:ascii="Arial" w:hAnsi="Arial" w:cs="Arial"/>
          <w:color w:val="000000" w:themeColor="text1"/>
          <w:sz w:val="21"/>
          <w:szCs w:val="21"/>
        </w:rPr>
        <w:t xml:space="preserve"> (»Narodne </w:t>
      </w:r>
      <w:r>
        <w:rPr>
          <w:rFonts w:ascii="Arial" w:hAnsi="Arial" w:cs="Arial"/>
          <w:color w:val="414145"/>
          <w:sz w:val="21"/>
          <w:szCs w:val="21"/>
        </w:rPr>
        <w:t>novine«, broj 155/23), ministar znanosti, obrazovanja i mladih donosi</w:t>
      </w:r>
    </w:p>
    <w:p w:rsidR="003D2907" w:rsidRP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3D2907">
        <w:rPr>
          <w:rFonts w:ascii="Arial" w:hAnsi="Arial" w:cs="Arial"/>
          <w:b/>
          <w:color w:val="000000" w:themeColor="text1"/>
          <w:sz w:val="40"/>
          <w:szCs w:val="21"/>
        </w:rPr>
        <w:t>PRAVILNIK</w:t>
      </w:r>
    </w:p>
    <w:p w:rsidR="003D2907" w:rsidRP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3D2907">
        <w:rPr>
          <w:rFonts w:ascii="Arial" w:hAnsi="Arial" w:cs="Arial"/>
          <w:b/>
          <w:color w:val="000000" w:themeColor="text1"/>
          <w:sz w:val="40"/>
          <w:szCs w:val="21"/>
        </w:rPr>
        <w:t>O MJERILIMA I NAČINU KORIŠTENJA NAMJENSKIH PRIHODA PRORAČUNSKIH KORISNIKA IZ NADLEŽNOSTI MINISTARSTVA ZNANOSTI, OBRAZOVANJA I MLADIH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3D2907" w:rsidRP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1"/>
        </w:rPr>
      </w:pPr>
      <w:r w:rsidRPr="003D2907">
        <w:rPr>
          <w:rFonts w:ascii="Arial" w:hAnsi="Arial" w:cs="Arial"/>
          <w:b/>
          <w:color w:val="000000" w:themeColor="text1"/>
          <w:sz w:val="28"/>
          <w:szCs w:val="21"/>
        </w:rPr>
        <w:t xml:space="preserve">(Narodne novine, br. </w:t>
      </w:r>
      <w:r>
        <w:rPr>
          <w:rFonts w:ascii="Arial" w:hAnsi="Arial" w:cs="Arial"/>
          <w:b/>
          <w:color w:val="000000" w:themeColor="text1"/>
          <w:sz w:val="28"/>
          <w:szCs w:val="21"/>
        </w:rPr>
        <w:t>79/24</w:t>
      </w:r>
      <w:bookmarkStart w:id="0" w:name="_GoBack"/>
      <w:bookmarkEnd w:id="0"/>
      <w:r w:rsidRPr="003D2907">
        <w:rPr>
          <w:rFonts w:ascii="Arial" w:hAnsi="Arial" w:cs="Arial"/>
          <w:b/>
          <w:color w:val="000000" w:themeColor="text1"/>
          <w:sz w:val="28"/>
          <w:szCs w:val="21"/>
        </w:rPr>
        <w:t>)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Predmet normiranja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Ovim Pravilnikom uređuju se mjerila i način korištenja namjenskih prihoda javnih visokih učilišta i javnih znanstvenih instituta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ostalih proračunskih korisnika iz nadležnosti Ministarstva znanosti, obrazovanja i mladih (u daljnjem tekstu: ostali korisnici).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Obveznici postupanja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Obveznici postupanja prema ovome Pravilniku su proračunski korisnici iz nadležnosti Ministarstva znanosti, obrazovanja i mladih (u daljnjem tekstu: korisnici).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Namjenski prihodi javnoga visokog učilišta odnosno javnoga znanstvenog instituta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3.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Namjenske prihode javnoga visokog učilišta odnosno javnoga znanstvenog instituta čine prihodi koji proizlaze iz obavljanja osnovne djelatnosti te s njome povezanih djelatnosti i to školarine studenata i druge naknade polaznika obrazovnih programa, sredstva Hrvatske zaklade za znanost, sveučilišnih i ostalih zaklada, sredstva europskih strukturnih i investicijskih fondova te drugih fondova i programa Europske unije, prihodi ostvareni od znanstvenih, umjetničkih i stručnih projekata te prihodi od fondova, namjenskih donacija i drugih odgovarajućih izvora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financiranja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obrazovne, znanstvene i umjetničke djelatnosti.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Korištenje namjenskih prihoda javnih visokih učilišta i javnih znanstvenih instituta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4.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Namjenske prihode javno visoko učilište odnosno javni znanstveni institut koristi za podmirenje rashoda nastalih provedbom studija i drugih obrazovnih programa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provedbom znanstvenih, umjetničkih i stručnih projekata ili druge namjene na temelju kojih su ovi prihodi ostvareni.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Najmanje 15 % prihoda ostvarenih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školarina studenata i drugih naknada polaznika obrazovnih programa javno visoko učilište odnosno javni znanstveni institut utrošit će u svrhe podmirivanja materijalnih rashoda te rashoda za nabavu nefinancijske imovine.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(3) Preostali dio namjenskih prihoda javnoga visokog učilišta odnosno javnoga znanstvenog instituta, nakon podmirenja rashoda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ovog članka, koristi se u svrhu unaprjeđenja djelatnosti visokog obrazovanja, znanstvene odnosno umjetničke djelatnosti na način da se izvode sveučilišni i stručni studiji koji se financiraju ili se ne financiraju iz općih prihoda i primitaka državnoga proračuna, izvode se programi stručnog usavršavanja za potrebe cjeloživotnog učenja, osmišljavaju se i akreditiraju novi studijski programi i programi stručnog usavršavanja, moderniziraju se postojeći studijski programi i programi stručnog usavršavanja, razvijaju se usluge za potporu studentima i unaprjeđuje studentski standard, diseminiraju se rezultati znanstvenih i umjetničkih projekata i programa, razvijaju se i izvode programi kojima se jača društveni angažman javnoga visokog učilišta odnosno javnoga znanstvenog instituta u zajednici, ostvaruje se međunarodna mobilnost i međunarodna međuinstitucionalna suradnja, organiziraju se znanstvene i stručne konferencije, seminari, radionice, tribine i okrugli stolovi, izdaje se nastavna, znanstvena i stručna literatura, izgrađuje se nova i okrupnjuje postojeća nastavna, znanstvena i umjetnička infrastruktura, razvijaju se i izvode programi od posebnog utjecaja na gospodarstvo i društveni razvoj, osmišljavaju se i provode projekti od interesa za Republiku Hrvatsku, provodi se organizacijska i funkcionalna integracija javnih visokih učilišta, preustrojavaju se javni znanstveni instituti, upravlja se intelektualnim vlasništvom i komercijaliziraju se rezultati istraživanja, znanstvenih projekata i programa te se ostvaruju drugi ciljevi u skladu s nacionalnim strateškim smjernicama i strategijom razvoja javnoga visokog učilišta odnosno javnoga znanstvenog instituta.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S ciljem realizacije aktivnosti utvrđenih u stavku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preostali dio namjenskih prihoda javnoga visokog učilišta odnosno javnoga znanstvenog instituta, nakon podmirenja rashoda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 koristi se za: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materijalne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rashode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plaćanje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rada zaposlenika ili radnoga mjesta koji izravno sudjeluje u realizaciji aktivnosti utvrđenih u stavku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uvećanje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plaća zaposlenicima koji izravno ili neizravno sudjeluju u realizaciji aktivnosti utvrđenim u stavku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naknade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građanima i kućanstvima te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rashode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za nabavu nefinancijske imovine.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Materijalni rashodi podrazumijevaju naknade troškova zaposlenima, rashode za materijal i energiju, rashode za usluge, naknade troškova osobama izvan radnoga odnosa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ostale nespomenute rashode poslovanja.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Plaćanje rada zaposlenika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radnoga mjesta koji izravno sudjeluje u realizaciji aktivnosti utvrđenih u stavku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podrazumijeva naknadu za rad zaposlenika javnih ustanova u sustavu znanosti i visokog obrazovanja koji je obavljen uz poslove utvrđene ugovorom o radu i općim aktom kojim se uređuje unutarnji ustroj i sistematizacija radnih mjesta.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Uvećanje plaće zaposlenicima koji izravno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neizravno sudjeluju u realizaciji aktivnosti utvrđenih u stavku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podrazumijeva uvećanje redovne plaće zaposlenika javnih ustanova u sustavu znanosti i visokog obrazovanja za obavljanje poslova iz ugovora o radu i općeg akta kojim se uređuje unutarnji ustroj i sistematizacija radnih mjesta, a koje ne smije premašiti 30 % mjesečne osnovne bruto plaće zaposlenika.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Naknade građanima i kućanstvima podrazumijevaju pokrivanje troškova studija i drugih obrazovnih programa studentima slabijega imovinskog stanja, izvrsnim studentima, zaposlenicima javnoga visokog učilišta odnosno javnoga znanstvenog instituta, kao i u druge svrhe utvrđene općim aktom iz članka 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(9) Plaćanje rashoda za nabavu nefinancijske imovine podrazumijeva ulaganje u izgradnju novih objekata, nabavu postrojenja i opreme, prijevoznih sredstava, knjiga i periodike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dodatna ulaganja u nefinancijsku imovinu.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Namjenski prihodi ostalih korisnika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lastRenderedPageBreak/>
        <w:t>Članak 5.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Namjenske prihode ostalih korisnika čine prihodi za posebne namjene, pomoći i namjenske donacije.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Prihodi za posebne namjene predstavljaju prihodi čije je korištenje kao i namjena utvrđeno posebnim zakonom.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Prihode za posebne namjene Agencije za znanost i visoko obrazovanje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priznavanja i vrednovanja inozemnih obrazovnih kvalifikacija.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Agencija za znanost i visoko obrazovanje ove prihode koristi za provedbu postupaka priznavanja i vrednovanja inozemnih obrazovnih kvalifikacija.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Prihode za posebne namjene Državnoga zavoda za intelektualno vlasništvo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međunarodnih ugovora o suradnji vezanih uz područje patenata.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Državni zavod za intelektualno vlasništvo ove prihode koristi za namirenje obveza preuzetih međunarodnim ugovorima o suradnji vezanima uz područje patenata, a preostali dio namjenskih prihoda dužan je uplatiti u državni proračun Republike Hrvatske.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Prihode za posebne namjene Hrvatske akademske i istraživačke mreže Carnet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naknade za registraciju domena.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Hrvatska akademska i istraživačka mreža Carnet ove prihode koristi za održavanje i unaprjeđenje sustava upravljanja domenama.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Prihode za posebne namjene Nacionalne i sveučilišne knjižnice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upisnina i zakasnina. Nacionalna i sveučilišna knjižnica ove prihode koristi za pokriće rashoda nastalih obavljanjem djelatnosti iz koje proizlazi ostvarenje prihoda za posebne namjene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za nabavu opreme potrebne za redovito poslovanje.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Prihode za posebne namjene Nacionalnoga centra za vanjsko vrednovanje obrazovanja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naknada koju pristupnici uplaćuju za troškove u procesu pripreme ispita državne mature.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Nacionalni centar za vanjsko vrednovanje obrazovanja ove prihode koristi za provođenje državne mature.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Prihode za posebne namjene Sveučilišnoga računskog centra SRCE čine prihodi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najma licencija potrebnih za poslovanje sveučilišta i sastavnica.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Sveučilišni računski centar SRCE ove prihode koristi za nabavu godišnje licencije za operacijski sustav poslužitelja.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Korištenje namjenskih prihoda ostalih korisnika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6.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Namjenske prihode ostali korisnici koriste za namjene za koje su ovi prihodi ostvareni.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Nakon podmirenja rashoda iz stavka 1. ovog članka, financiranih iz prihoda za posebne namjene i pomoći iz EU izvora te ostalih pomoći, najmanje 15 % preostalog dijela prihoda čija namjena nije utvrđena ostali korisnici utrošit će u svrhu podmirivanja materijalnih rashoda te rashoda za nabavu nefinancijske imovine.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Preostali dio namjenskih prihoda, nakon podmirenja rashoda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članka, koristi se za: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materijalne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rashode,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plaćanje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rada zaposlenika ili radnoga mjesta koji izravno sudjeluje u ostvarenju namjenskih prihoda,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uvećanje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plaća zaposlenicima koji izravno ili neizravno sudjeluju u ostvarenju namjenskih prihoda,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naknade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građanima i kućanstvima te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rashode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za nabavu nefinancijske imovine.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Materijalni rashodi podrazumijevaju naknade troškova zaposlenima, rashode za materijal i energiju, rashode za usluge, naknade troškova osobama izvan radnoga odnosa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ostale nespomenute rashode poslovanja.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Plaćanje rada zaposlenika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radnoga mjesta koji izravno sudjeluje u ostvarenju namjenskih prihoda podrazumijeva naknadu za rad zaposlenika javnih ustanova u sustavu znanosti i visokog </w:t>
      </w:r>
      <w:r>
        <w:rPr>
          <w:rFonts w:ascii="Arial" w:hAnsi="Arial" w:cs="Arial"/>
          <w:color w:val="414145"/>
          <w:sz w:val="21"/>
          <w:szCs w:val="21"/>
        </w:rPr>
        <w:lastRenderedPageBreak/>
        <w:t>obrazovanja koji je obavljen uz poslove utvrđene ugovorom o radu i općim aktom kojim se uređuje unutarnji ustroj i sistematizacija radnih mjesta.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Uvećanje plaće zaposlenicima koji izravno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neizravno sudjeluju u ostvarenju namjenskih prihoda podrazumijeva uvećanje redovne plaće zaposlenika javnih ustanova u sustavu znanosti i visokog obrazovanja za obavljanje poslova iz ugovora o radu i općeg akta kojim se uređuje unutarnji ustroj i sistematizacija radnih mjesta, a koje ne smije premašiti 30 % mjesečne osnovne bruto plaće zaposlenika.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Naknade građanima i kućanstvima podrazumijevaju pokrivanje troškova studija i drugih obrazovnih programa zaposlenicima, kao i u druge svrhe utvrđene općim aktom iz članka 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(8) Plaćanje rashoda za nabavu nefinancijske imovine podrazumijeva ulaganje u izgradnju novih objekata, nabavu postrojenja i opreme, prijevoznih sredstava, knjiga i periodike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dodatna ulaganja u nefinancijsku imovinu.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Opći akt o korištenju namjenskih prihoda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7.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Čelnik odnosno upravljačko tijelo korisnika obvezno je donijeti opći akt kojim se uređuje ostvarivanje i korištenje namjenskih prihoda, a koji mora biti u skladu s ovim Pravilnikom.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Opći akt iz stavka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čelnik odnosno upravljačko tijelo korisnika obvezno je donijeti u roku od šest mjeseci od stupanja na snagu ovoga Pravilnika te ga podnijeti na prethodnu suglasnost Ministarstvu znanosti, obrazovanja i mladih.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Opći akt iz stavka 1.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primjenjuje se nakon ishođene prethodne suglasnosti Ministarstva znanosti, obrazovanja i mladih.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Izvješćivanje o korištenju namjenskih prihoda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8.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(1) Korisnik Ministarstvu znanosti, obrazovanja i mladih podnosi polugodišnje i godišnje izvješće o ostvarenju i korištenju namjenskih prihoda.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Rok za dostavu polugodišnjeg izvješća je 31.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srpnja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tekuće godine, a godišnjeg izvješća 31.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ožujka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tekuće godine za prethodnu godinu.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Korisnik koji je na temelju zakona o izvršavanju državnoga proračuna izuzet od obveze uplate namjenskih prihoda u proračun te ostvaruje ove prihode na svojem računu s kojega podmiruje obveze/rashode, dužan je Ministarstvu znanosti, obrazovanja i mladih dostaviti mjesečni izvještaj o ostvarenju i utrošku namjenskih prihoda (evidencijski nalozi) najkasnije do petoga dana u mjesecu, a sveučilišta konsolidirani mjesečni izvještaj o ostvarenju i utrošku namjenskih prihoda sastavnica iz nadležnosti do osmoga dana u mjesecu, prema propisima kojima je uređeno proračunsko računovodstvo.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Ministarstvo znanosti, obrazovanja i mladih dostavlja evidencijske naloge Ministarstvu financija do desetoga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dana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 mjesecu za prethodni mjesec.</w:t>
      </w:r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Ministarstvo znanosti, obrazovanja i mladih ovlašteno je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korisnika zahtijevati izvješće o ostvarenju i korištenju namjenskih prihoda i izvan rokova utvrđenih u ovom članku.</w:t>
      </w:r>
    </w:p>
    <w:p w:rsidR="003D2907" w:rsidRDefault="003D2907" w:rsidP="003D2907">
      <w:pPr>
        <w:pStyle w:val="box477484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Stupanje Pravilnika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</w:t>
      </w:r>
    </w:p>
    <w:p w:rsidR="003D2907" w:rsidRDefault="003D2907" w:rsidP="003D2907">
      <w:pPr>
        <w:pStyle w:val="box477484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9.</w:t>
      </w:r>
      <w:proofErr w:type="gramEnd"/>
    </w:p>
    <w:p w:rsidR="003D2907" w:rsidRDefault="003D2907" w:rsidP="003D2907">
      <w:pPr>
        <w:pStyle w:val="box477484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Ovaj Pravilnik stupa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osmoga dana od dana objave u »Narodnim novinama«.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07"/>
    <w:rsid w:val="003D2907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484">
    <w:name w:val="box_477484"/>
    <w:basedOn w:val="Normal"/>
    <w:rsid w:val="003D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D2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484">
    <w:name w:val="box_477484"/>
    <w:basedOn w:val="Normal"/>
    <w:rsid w:val="003D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D2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59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2024-11-28T09:47:00Z</dcterms:created>
  <dcterms:modified xsi:type="dcterms:W3CDTF">2024-11-28T09:48:00Z</dcterms:modified>
</cp:coreProperties>
</file>