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04" w:rsidRPr="007C1E04" w:rsidRDefault="007C1E04" w:rsidP="007C1E04">
      <w:pPr>
        <w:keepNext/>
        <w:spacing w:before="240" w:after="60" w:line="240" w:lineRule="auto"/>
        <w:outlineLvl w:val="2"/>
        <w:rPr>
          <w:rFonts w:ascii="Arial" w:eastAsia="Times New Roman" w:hAnsi="Arial" w:cs="Arial"/>
          <w:b/>
          <w:bCs/>
          <w:szCs w:val="26"/>
          <w:lang w:eastAsia="hr-HR"/>
        </w:rPr>
      </w:pPr>
      <w:bookmarkStart w:id="0" w:name="_Toc140370860"/>
      <w:bookmarkStart w:id="1" w:name="_Toc140292716"/>
      <w:bookmarkStart w:id="2" w:name="_Toc140292596"/>
      <w:bookmarkStart w:id="3" w:name="_Toc140292188"/>
      <w:bookmarkStart w:id="4" w:name="_Toc140291394"/>
      <w:bookmarkStart w:id="5" w:name="_Toc140291099"/>
      <w:bookmarkStart w:id="6" w:name="_Toc140031848"/>
      <w:bookmarkStart w:id="7" w:name="_Toc140551886"/>
      <w:bookmarkStart w:id="8" w:name="_Toc140463942"/>
      <w:bookmarkStart w:id="9" w:name="_Toc140462043"/>
      <w:bookmarkStart w:id="10" w:name="_Toc140461098"/>
      <w:bookmarkStart w:id="11" w:name="_Toc140460687"/>
      <w:bookmarkStart w:id="12" w:name="_Toc140460084"/>
      <w:bookmarkStart w:id="13" w:name="_Toc140458345"/>
      <w:bookmarkStart w:id="14" w:name="_Toc140458209"/>
      <w:bookmarkStart w:id="15" w:name="_Toc140457873"/>
      <w:bookmarkStart w:id="16" w:name="_Toc140457657"/>
      <w:bookmarkStart w:id="17" w:name="_Toc140440853"/>
      <w:bookmarkStart w:id="18" w:name="_Toc140433321"/>
      <w:bookmarkStart w:id="19" w:name="_Toc109023326"/>
      <w:bookmarkStart w:id="20" w:name="_Toc109022644"/>
      <w:bookmarkStart w:id="21" w:name="_Toc109022178"/>
      <w:bookmarkStart w:id="22" w:name="_Toc109017774"/>
      <w:bookmarkStart w:id="23" w:name="_Toc109017093"/>
      <w:bookmarkStart w:id="24" w:name="_Toc109016514"/>
      <w:bookmarkStart w:id="25" w:name="_Toc109016190"/>
      <w:bookmarkStart w:id="26" w:name="_Toc109013029"/>
      <w:bookmarkStart w:id="27" w:name="_Toc109012721"/>
      <w:bookmarkStart w:id="28" w:name="_Toc109012071"/>
      <w:bookmarkStart w:id="29" w:name="_Toc140420046"/>
      <w:bookmarkStart w:id="30" w:name="_Toc140418385"/>
      <w:bookmarkStart w:id="31" w:name="_Toc140415384"/>
      <w:bookmarkStart w:id="32" w:name="_Toc140413004"/>
      <w:bookmarkStart w:id="33" w:name="_Toc140411202"/>
      <w:r w:rsidRPr="007C1E04">
        <w:rPr>
          <w:rFonts w:ascii="Arial" w:eastAsia="Times New Roman" w:hAnsi="Arial" w:cs="Arial"/>
          <w:b/>
          <w:bCs/>
          <w:szCs w:val="26"/>
          <w:lang w:eastAsia="hr-HR"/>
        </w:rPr>
        <w:t>Konvencija br.139</w:t>
      </w:r>
      <w:bookmarkEnd w:id="0"/>
      <w:bookmarkEnd w:id="1"/>
      <w:bookmarkEnd w:id="2"/>
      <w:bookmarkEnd w:id="3"/>
      <w:bookmarkEnd w:id="4"/>
      <w:bookmarkEnd w:id="5"/>
      <w:bookmarkEnd w:id="6"/>
      <w:r w:rsidRPr="007C1E04">
        <w:rPr>
          <w:rFonts w:ascii="Arial" w:eastAsia="Times New Roman" w:hAnsi="Arial" w:cs="Arial"/>
          <w:b/>
          <w:bCs/>
          <w:szCs w:val="26"/>
          <w:lang w:eastAsia="hr-HR"/>
        </w:rPr>
        <w:t xml:space="preserve"> - O sprječavanju i kontroli profesionalnih rizika uzrokovanih kancerogenim supstancama i agensima</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Opća skupština Međunarodne organizacije rada, koju je u Ženeći sazvalo Upravno vijeće Međunarodnog ureda rada i koja se sastala na svom 59. zasjedanju, 5. lipnja 1974. godine,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Imajući na umu uvjete Konvencije i Preporuke o zaštiti od radijacije iz 1960. godine i Konvencije i Preporuke o benzolu od 1971. godine,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smatrajući da je poželjno ustanovljenje međunarodne norme o zaštiti od kancerogenih supstanci i agenasa,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imajući na umu odgovarajući rad ostalih međunarodnih organizacija, a posebno Svjetske zdravstvene organizacije i Međunarodne agencije za istraživanje raka, s kojima Međunarodna organizacija rada surađuje,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odlučivši prihvatiti neke prijedloge o kontroli i sprječavanju profesionalnih rizika uzrokovanih kancerogenim supstancama i agensima, što je peta točka dnevnog reda zasjedanja,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odlučivši te prijedloge sastaviti u obliku međunarodne konvencije,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 xml:space="preserve">donosi 24. lipnja 1974. godine ovu konvenciju, koja će se nazvati </w:t>
      </w:r>
      <w:r w:rsidRPr="007C1E04">
        <w:rPr>
          <w:rFonts w:ascii="Times New Roman" w:eastAsia="Times New Roman" w:hAnsi="Times New Roman" w:cs="Times New Roman"/>
          <w:b/>
          <w:i/>
          <w:sz w:val="24"/>
          <w:szCs w:val="24"/>
          <w:lang w:eastAsia="hr-HR"/>
        </w:rPr>
        <w:t>Konvencija o profesionalnom karcinomu</w:t>
      </w:r>
      <w:r w:rsidRPr="007C1E04">
        <w:rPr>
          <w:rFonts w:ascii="Times New Roman" w:eastAsia="Times New Roman" w:hAnsi="Times New Roman" w:cs="Times New Roman"/>
          <w:i/>
          <w:sz w:val="24"/>
          <w:szCs w:val="24"/>
          <w:lang w:eastAsia="hr-HR"/>
        </w:rPr>
        <w:t>, 1974. godine.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1.</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1. Svaka članica koja ratificira ovu Konvenciju povremeno određuje kancerogene supstance i agense kojima je zabranjeno profesionalno izlaganje ili koji podliježu odobrenju ili kontroli te one na koje se primjenjuju druge odredbe ove Konvencije.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2. Izuzeća od zabrane mogu se dopustiti samo izdavanjem odobrenja u kojem će se, u svakom pojedinačnom slučaju, precizirati uvjeti kojima treba biti udovoljeno.</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3. Pri određivanju supstanca i agenasa, prema stavku 1. ovog članka, treba voditi računa o najnovijim informacijama sadržanim u kodeksima prakse ili priručnicima koji Međunarodni ured rada može izraditi te u informacijama drugih nadležnih organa.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2.</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1. Svaka članica koja ratificira ovu Konvenciju uložit će sve napore da se kancerogene supstance i agensi, kojima radnici mogu biti izloženi tijekom svoga rada zamijene nekancerogenim supstancama i agensima ili manje štetnim supstancama ili agensima. Pri izboru supstituta za supstance ili agense treba voditi računa o njihovim kancerogenim, toksičnim i drugim svojstvima.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2. Broj radnika izloženih kancerogenim supstancama ili agensima te trajanje tog izlaganja moraju biti svedeni na minimum koji osigurava sigurnost.</w:t>
      </w:r>
    </w:p>
    <w:p w:rsidR="007C1E04" w:rsidRPr="007C1E04" w:rsidRDefault="007C1E04" w:rsidP="007C1E04">
      <w:pPr>
        <w:spacing w:after="0" w:line="240" w:lineRule="auto"/>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3.</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Svaka članica koja ratificira ovu konvenciju propisuje mjere koje će se poduzeti za zaštitu radnika od opasnosti izlaganja kancerogenim supstancama ili agensima i osigurava uvođenje odgovarajućeg sustava evidencije.</w:t>
      </w: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4.</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Svaka članica koja ratificira ovu Konvenciju poduzima mjere da radnici koji su izloženi ili postoje izgledi da budu izloženi kancerogenim supstancama ili agensima dobiju sve raspoložive informacije o opasnostima u vezi s tim i o mjerama koje treba poduzeti.</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5.</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Svaka članica koja ratificira ovu Konvenciju poduzima mjere kako bi radnicima osigurala liječničke preglede ili biološke ili druge testove ili ispitivanja za trajanja zaposlenja ili nakon toga, koji su potrebni da bi se ocijenilo njihovo izlaganje i kontroliralo njihovo zdravstveno stanje u pogledu profesionalnih rizika.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6.</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Svaka članica koja ratificira ovu Konvenciju:</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(a) poduzima, zakonom ili propisom ili na drugi način koji je u skladu s nacionalnom praksom i uvjetima i u suradnji s najreprezentativnijim zainteresiranim organizacijama poslodavaca i radnika, mjere koje mogu biti potrebne za provođenje odredaba ove Konvencije u djelo;</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(b) određuju, u skladu s nacionalnom praksom, osobe odnosno organe koji su odgovorni za poštovanje odredaba ove Konvencije;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(c) obvezuje se osigurati odgovarajuće inspekcijske službe radi nadzora nad primjenom ove Konvencije, ili se uvjeriti da je odgovarajuća inspekcija izvršena.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7.</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Priopćenje o formalnim ratifikacijama ove konvencije dostavlja se Generalnom direktoru Međunarodnog ureda rada, radi registracije.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8.</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1. Ova Konvencija obvezuje samo one članice Međunarodne organizacije rada čije je priopćenje o ratifikaciji registrirao generalni direktor.</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2. Konvencija stupa na snagu 12 mjeseci od dana kad je generalni direktor registrirao priopćenje dviju članica o ratifikaciji.</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3. Nakon toga, ova Konvencija stupa na snagu za svaku članicu 12 mjeseci od dana registriranja njezina priopćenja o ratifikaciji.</w:t>
      </w:r>
    </w:p>
    <w:p w:rsidR="007C1E04" w:rsidRPr="007C1E04" w:rsidRDefault="007C1E04" w:rsidP="007C1E04">
      <w:pPr>
        <w:spacing w:after="0" w:line="240" w:lineRule="auto"/>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9.</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1. Članica koja je ratificirala ovu Konvenciju može je otkazati nakon proteka razdoblja od deset godina, računajući od datuma kad je Konvencija prvi put stupila na snagu, upućivanjem generalnom direktoru Međunarodnog ureda rada, radi registracije.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2. Svaka članica koja je ratificirala ovu Konvenciju i koja tijekom godine koja dolazi nakon proteka desetogodišnjeg razdoblja spomenutog u stavku 1. ovog članka, ne iskoristi pravo otkaza predviđeno u ovom članku, podliježe obvezama Konvencije i u sljedećem razdoblju od deset godina, a nakon toga može otkazati Konvenciju nakon isteka desetogodišnjeg razdoblja, uz uvjete predviđene u ovom članku.</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10.</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1. Generalni direktor Međunarodnog ureda rada obavještava sve članice Međunarodne organizacije rada o svakom registriranom priopćenju o ratifikaciji i otkazu koje mu dostave članice Organizacije.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2. Generalni direktor skreće pozornost članicama Organizacije na datum stupanja Konvencije na snagu, pri obavještavanju članica Organizacije o registriranju priopćenja o drugoj ratifikaciji koje se njemu dostavlja.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11.</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Generalni direktor Međunarodnog ureda rada dostavlja generalnom tajniku Ujedinjenih naroda radi registracije, prema članku 102. Povelje Ujedinjenih naroda, potpune podatke o svim ratifikacijama i otkazima što ih je on registrirao, u skladu s odredbama prethodnih članaka ove Konvencije.</w:t>
      </w: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12.</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Kad bude smatralo potrebnim, Upravno vijeće Međunarodnog ureda rada podnosi Općoj skupštini izvješće o primjeni ove Konvencije i razmatra je li poželjno stavljanje na dnevni red Skupštine pitanja njezine potpune ili djelomične revizije.</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13.</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1. Ako Skupština donese novu konvenciju kojom se ova Konvencija revidira u cijelosti ili djelomično, onda će, osim ako nova Konvencija drugačije ne predviđa: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(a) ratifikacija nove revidirane konvencije od strane jedne članice povlačiti ipso iure neposredan otkaz ove konvencije, bez obzira na odredbe članka 9. ove Konvencije, ako i kad nova revidirana Konvencija stupi na snagu;</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(b) na dan stupanja nove revidirane konvencije na snagu, ova Konvencija prestaje biti otvorena za ratifikaciju od strane članica.</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2. Ova Konvencija u svakom slučaju ne ostaje na snazi u svojem sadašnjem obliku i po svojem sadašnjem značenju za one članice koje su je ratificirale, a nisu ratificirale revidiranu konvenciju.</w:t>
      </w: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center"/>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Članak 14.</w:t>
      </w: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p>
    <w:p w:rsidR="007C1E04" w:rsidRPr="007C1E04" w:rsidRDefault="007C1E04" w:rsidP="007C1E04">
      <w:pPr>
        <w:spacing w:after="0" w:line="240" w:lineRule="auto"/>
        <w:jc w:val="both"/>
        <w:rPr>
          <w:rFonts w:ascii="Times New Roman" w:eastAsia="Times New Roman" w:hAnsi="Times New Roman" w:cs="Times New Roman"/>
          <w:i/>
          <w:sz w:val="24"/>
          <w:szCs w:val="24"/>
          <w:lang w:eastAsia="hr-HR"/>
        </w:rPr>
      </w:pPr>
      <w:r w:rsidRPr="007C1E04">
        <w:rPr>
          <w:rFonts w:ascii="Times New Roman" w:eastAsia="Times New Roman" w:hAnsi="Times New Roman" w:cs="Times New Roman"/>
          <w:i/>
          <w:sz w:val="24"/>
          <w:szCs w:val="24"/>
          <w:lang w:eastAsia="hr-HR"/>
        </w:rPr>
        <w:t>Tekstovi ove Konvencije na engleskom i francuskom jeziku jednako vjerodostojni.</w:t>
      </w:r>
    </w:p>
    <w:p w:rsidR="00321842" w:rsidRDefault="007C1E04">
      <w:bookmarkStart w:id="34" w:name="_GoBack"/>
      <w:bookmarkEnd w:id="34"/>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04"/>
    <w:rsid w:val="0035671F"/>
    <w:rsid w:val="007C1E04"/>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2014-10-29T13:32:00Z</dcterms:created>
  <dcterms:modified xsi:type="dcterms:W3CDTF">2014-10-29T13:33:00Z</dcterms:modified>
</cp:coreProperties>
</file>