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9" w:rsidRPr="00B259C9" w:rsidRDefault="00B259C9" w:rsidP="00B259C9">
      <w:pPr>
        <w:spacing w:after="240" w:line="240" w:lineRule="auto"/>
        <w:jc w:val="center"/>
        <w:textAlignment w:val="baseline"/>
        <w:outlineLvl w:val="0"/>
        <w:rPr>
          <w:rFonts w:ascii="Minion Pro" w:eastAsia="Times New Roman" w:hAnsi="Minion Pro" w:cs="Times New Roman"/>
          <w:b/>
          <w:bCs/>
          <w:color w:val="000000"/>
          <w:kern w:val="36"/>
          <w:sz w:val="29"/>
          <w:szCs w:val="29"/>
          <w:lang w:eastAsia="hr-HR"/>
        </w:rPr>
      </w:pPr>
      <w:r w:rsidRPr="00B259C9">
        <w:rPr>
          <w:rFonts w:ascii="Minion Pro" w:eastAsia="Times New Roman" w:hAnsi="Minion Pro" w:cs="Times New Roman"/>
          <w:b/>
          <w:bCs/>
          <w:color w:val="000000"/>
          <w:kern w:val="36"/>
          <w:sz w:val="29"/>
          <w:szCs w:val="29"/>
          <w:lang w:eastAsia="hr-HR"/>
        </w:rPr>
        <w:t>MINISTARSTVO ZDRAVSTVA I SOCIJALNE SKRBI</w:t>
      </w:r>
    </w:p>
    <w:p w:rsidR="00B259C9" w:rsidRPr="00B259C9" w:rsidRDefault="00B259C9" w:rsidP="00B259C9">
      <w:pPr>
        <w:spacing w:after="225" w:line="240" w:lineRule="auto"/>
        <w:jc w:val="right"/>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b/>
          <w:bCs/>
          <w:color w:val="000000"/>
          <w:sz w:val="24"/>
          <w:szCs w:val="24"/>
          <w:lang w:eastAsia="hr-HR"/>
        </w:rPr>
        <w:t>2473</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Na temelju članka 25. Zakona o dobrovoljnom zdravstvenom osiguranju (»Narodne novine« br. 85/06) ministar zdravstva i socijalne skrbi donosi</w:t>
      </w:r>
    </w:p>
    <w:p w:rsidR="00B259C9" w:rsidRPr="00B259C9" w:rsidRDefault="00B259C9" w:rsidP="00B259C9">
      <w:pPr>
        <w:spacing w:before="240" w:after="240" w:line="288" w:lineRule="atLeast"/>
        <w:jc w:val="center"/>
        <w:textAlignment w:val="baseline"/>
        <w:outlineLvl w:val="1"/>
        <w:rPr>
          <w:rFonts w:ascii="Minion Pro" w:eastAsia="Times New Roman" w:hAnsi="Minion Pro" w:cs="Times New Roman"/>
          <w:b/>
          <w:bCs/>
          <w:color w:val="000000"/>
          <w:sz w:val="33"/>
          <w:szCs w:val="33"/>
          <w:lang w:eastAsia="hr-HR"/>
        </w:rPr>
      </w:pPr>
      <w:r w:rsidRPr="00B259C9">
        <w:rPr>
          <w:rFonts w:ascii="Minion Pro" w:eastAsia="Times New Roman" w:hAnsi="Minion Pro" w:cs="Times New Roman"/>
          <w:b/>
          <w:bCs/>
          <w:color w:val="000000"/>
          <w:sz w:val="33"/>
          <w:szCs w:val="33"/>
          <w:lang w:eastAsia="hr-HR"/>
        </w:rPr>
        <w:t>PRAVILNIK</w:t>
      </w:r>
    </w:p>
    <w:p w:rsidR="00B259C9" w:rsidRPr="00B259C9" w:rsidRDefault="00B259C9" w:rsidP="00B259C9">
      <w:pPr>
        <w:spacing w:before="240" w:after="240" w:line="240" w:lineRule="auto"/>
        <w:jc w:val="center"/>
        <w:textAlignment w:val="baseline"/>
        <w:outlineLvl w:val="2"/>
        <w:rPr>
          <w:rFonts w:ascii="Minion Pro" w:eastAsia="Times New Roman" w:hAnsi="Minion Pro" w:cs="Times New Roman"/>
          <w:b/>
          <w:bCs/>
          <w:color w:val="000000"/>
          <w:sz w:val="24"/>
          <w:szCs w:val="24"/>
          <w:lang w:eastAsia="hr-HR"/>
        </w:rPr>
      </w:pPr>
      <w:r w:rsidRPr="00B259C9">
        <w:rPr>
          <w:rFonts w:ascii="Minion Pro" w:eastAsia="Times New Roman" w:hAnsi="Minion Pro" w:cs="Times New Roman"/>
          <w:b/>
          <w:bCs/>
          <w:color w:val="000000"/>
          <w:sz w:val="24"/>
          <w:szCs w:val="24"/>
          <w:lang w:eastAsia="hr-HR"/>
        </w:rPr>
        <w:t>O UVJETIMA I NAČINU PROVOĐENJA DODATNOGA ZDRAVSTVENOG OSIGURANJA</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1.</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Ovim Pravilnikom propisuju se uvjeti i način provođenja dodatnoga zdravstvenog osiguranja (u daljnjem tekstu: dodatno osiguranje).</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2.</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Dodatno osiguranje je dobrovoljno.</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3.</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Na prava iz dodatnoga osiguranja mogu se osigurati samo osobe koje imaju utvrđen status osigurane osobe Hrvatskog zavoda za obvezno zdravstveno osiguranje (u daljnjem tekstu: Zavod) sukladno Zakonu o obveznom zdravstvenom osiguranju.</w:t>
      </w:r>
      <w:r w:rsidRPr="00B259C9">
        <w:rPr>
          <w:rFonts w:ascii="Minion Pro" w:eastAsia="Times New Roman" w:hAnsi="Minion Pro" w:cs="Times New Roman"/>
          <w:color w:val="000000"/>
          <w:sz w:val="24"/>
          <w:szCs w:val="24"/>
          <w:lang w:eastAsia="hr-HR"/>
        </w:rPr>
        <w:br/>
        <w:t>Sklapanjem ugovora o dodatnom osiguranju osigurana osoba Zavoda stječe status osiguranika (u daljnjem tekstu: osiguranik).</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4.</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Osiguranik sklapanjem ugovora o dodatnom osiguranju s društvom za osiguranje koje je dobilo dozvolu za obavljanje te vrste osiguranja od nadzornog tijela za obavljanje poslova osiguranja sukladno Zakonu o osiguranju (u daljnjem tekstu: osiguravatelj) osigurava viši standard zdravstvene zaštite u odnosu na standard zdravstvene zaštite iz obveznoga zdravstvenog osiguranja te veći opseg prava u odnosu na prava iz obveznoga zdravstvenog osiguranja.</w:t>
      </w:r>
      <w:r w:rsidRPr="00B259C9">
        <w:rPr>
          <w:rFonts w:ascii="Minion Pro" w:eastAsia="Times New Roman" w:hAnsi="Minion Pro" w:cs="Times New Roman"/>
          <w:color w:val="000000"/>
          <w:sz w:val="24"/>
          <w:szCs w:val="24"/>
          <w:lang w:eastAsia="hr-HR"/>
        </w:rPr>
        <w:br/>
        <w:t>Osiguravatelj iz stavka 1. ovoga članka ne smije započeti obav</w:t>
      </w:r>
      <w:r w:rsidRPr="00B259C9">
        <w:rPr>
          <w:rFonts w:ascii="Minion Pro" w:eastAsia="Times New Roman" w:hAnsi="Minion Pro" w:cs="Times New Roman"/>
          <w:color w:val="000000"/>
          <w:sz w:val="24"/>
          <w:szCs w:val="24"/>
          <w:lang w:eastAsia="hr-HR"/>
        </w:rPr>
        <w:softHyphen/>
        <w:t>ljati poslove dodatnoga osiguranja bez prethodno pribavljene suglasnosti ministra nadležnog za zdravstvo.</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5.</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Dodatno osiguranje za viši standard zdravstvene zaštite u odnosu na standard zdravstvene zaštite iz obveznoga zdravstvenog osiguranja obuhvaća:</w:t>
      </w:r>
      <w:r w:rsidRPr="00B259C9">
        <w:rPr>
          <w:rFonts w:ascii="Minion Pro" w:eastAsia="Times New Roman" w:hAnsi="Minion Pro" w:cs="Times New Roman"/>
          <w:color w:val="000000"/>
          <w:sz w:val="24"/>
          <w:szCs w:val="24"/>
          <w:lang w:eastAsia="hr-HR"/>
        </w:rPr>
        <w:br/>
        <w:t>1. zdravstvene usluge iznad standarda zdravstvene zaštite iz obveznoga zdravstvenog osiguranja u pojedinim djelatnostima na razini primarne, specijalističko-konzilijarne i bolničke zdravstvene zaštite;</w:t>
      </w:r>
      <w:r w:rsidRPr="00B259C9">
        <w:rPr>
          <w:rFonts w:ascii="Minion Pro" w:eastAsia="Times New Roman" w:hAnsi="Minion Pro" w:cs="Times New Roman"/>
          <w:color w:val="000000"/>
          <w:sz w:val="24"/>
          <w:szCs w:val="24"/>
          <w:lang w:eastAsia="hr-HR"/>
        </w:rPr>
        <w:br/>
        <w:t>2. korištenje većeg broja zdravstvenih usluga u odnosu na broj zdravstvenih usluga utvrđenih opsegom prava na zdravstvenu zaštitu te utvrđenim standardima i normativima zdravstvene zaštite iz obveznoga zdravstvenog osiguranja;</w:t>
      </w:r>
      <w:r w:rsidRPr="00B259C9">
        <w:rPr>
          <w:rFonts w:ascii="Minion Pro" w:eastAsia="Times New Roman" w:hAnsi="Minion Pro" w:cs="Times New Roman"/>
          <w:color w:val="000000"/>
          <w:sz w:val="24"/>
          <w:szCs w:val="24"/>
          <w:lang w:eastAsia="hr-HR"/>
        </w:rPr>
        <w:br/>
        <w:t xml:space="preserve">3. mogućnost biranja doktora medicine, doktora stomatologije, odnosno doktora medicine specijalista u zdravstvenim ustanovama na sekundarnoj i tercijarnoj razini zdravstvene </w:t>
      </w:r>
      <w:r w:rsidRPr="00B259C9">
        <w:rPr>
          <w:rFonts w:ascii="Minion Pro" w:eastAsia="Times New Roman" w:hAnsi="Minion Pro" w:cs="Times New Roman"/>
          <w:color w:val="000000"/>
          <w:sz w:val="24"/>
          <w:szCs w:val="24"/>
          <w:lang w:eastAsia="hr-HR"/>
        </w:rPr>
        <w:lastRenderedPageBreak/>
        <w:t>djelatnosti sukladno sklopljenom ugovoru između osiguravatelja i zdravstvene ustanove;</w:t>
      </w:r>
      <w:r w:rsidRPr="00B259C9">
        <w:rPr>
          <w:rFonts w:ascii="Minion Pro" w:eastAsia="Times New Roman" w:hAnsi="Minion Pro" w:cs="Times New Roman"/>
          <w:color w:val="000000"/>
          <w:sz w:val="24"/>
          <w:szCs w:val="24"/>
          <w:lang w:eastAsia="hr-HR"/>
        </w:rPr>
        <w:br/>
        <w:t>4. boravak člana obitelji ili skrbnika s osiguranikom u bolničkoj zdravstvenoj ustanovi;</w:t>
      </w:r>
      <w:r w:rsidRPr="00B259C9">
        <w:rPr>
          <w:rFonts w:ascii="Minion Pro" w:eastAsia="Times New Roman" w:hAnsi="Minion Pro" w:cs="Times New Roman"/>
          <w:color w:val="000000"/>
          <w:sz w:val="24"/>
          <w:szCs w:val="24"/>
          <w:lang w:eastAsia="hr-HR"/>
        </w:rPr>
        <w:br/>
        <w:t>5. korištenje pomagala i nadomjestaka izvan standarda obveznoga zdravstvenog osiguranja.</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6.</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Dodatno osiguranje za veći opseg prava u odnosu na prava iz obveznoga zdravstvenog osiguranja obuhvaća:</w:t>
      </w:r>
      <w:r w:rsidRPr="00B259C9">
        <w:rPr>
          <w:rFonts w:ascii="Minion Pro" w:eastAsia="Times New Roman" w:hAnsi="Minion Pro" w:cs="Times New Roman"/>
          <w:color w:val="000000"/>
          <w:sz w:val="24"/>
          <w:szCs w:val="24"/>
          <w:lang w:eastAsia="hr-HR"/>
        </w:rPr>
        <w:br/>
        <w:t>1. pokriće troškova zdravstvenih usluga koje se ne osiguravaju na teret sredstava obveznoga zdravstvenog osiguranja;</w:t>
      </w:r>
      <w:r w:rsidRPr="00B259C9">
        <w:rPr>
          <w:rFonts w:ascii="Minion Pro" w:eastAsia="Times New Roman" w:hAnsi="Minion Pro" w:cs="Times New Roman"/>
          <w:color w:val="000000"/>
          <w:sz w:val="24"/>
          <w:szCs w:val="24"/>
          <w:lang w:eastAsia="hr-HR"/>
        </w:rPr>
        <w:br/>
        <w:t>2. isplatu novčanih naknada iznad iznosa utvrđenih u okviru prava iz obveznoga zdravstvenog osiguranja i to:</w:t>
      </w:r>
      <w:r w:rsidRPr="00B259C9">
        <w:rPr>
          <w:rFonts w:ascii="Minion Pro" w:eastAsia="Times New Roman" w:hAnsi="Minion Pro" w:cs="Times New Roman"/>
          <w:color w:val="000000"/>
          <w:sz w:val="24"/>
          <w:szCs w:val="24"/>
          <w:lang w:eastAsia="hr-HR"/>
        </w:rPr>
        <w:br/>
        <w:t>– naknade plaće za vrijeme privremene nesposobnosti, odnosno spriječenosti za rad zbog korištenja zdravstvene zaštite;</w:t>
      </w:r>
      <w:r w:rsidRPr="00B259C9">
        <w:rPr>
          <w:rFonts w:ascii="Minion Pro" w:eastAsia="Times New Roman" w:hAnsi="Minion Pro" w:cs="Times New Roman"/>
          <w:color w:val="000000"/>
          <w:sz w:val="24"/>
          <w:szCs w:val="24"/>
          <w:lang w:eastAsia="hr-HR"/>
        </w:rPr>
        <w:br/>
        <w:t>– novčane naknade zbog nemogućnosti obavljanja poslova na temelju kojih se ostvaruju drugi primici od kojih se utvrđuju drugi dohoci, sukladno propisima o doprinosima za obvezna osiguranja;</w:t>
      </w:r>
      <w:r w:rsidRPr="00B259C9">
        <w:rPr>
          <w:rFonts w:ascii="Minion Pro" w:eastAsia="Times New Roman" w:hAnsi="Minion Pro" w:cs="Times New Roman"/>
          <w:color w:val="000000"/>
          <w:sz w:val="24"/>
          <w:szCs w:val="24"/>
          <w:lang w:eastAsia="hr-HR"/>
        </w:rPr>
        <w:br/>
        <w:t>– naknade troškova prijevoza u svezi s korištenjem zdravstvene zaštite iz obveznoga zdravstvenog osiguranja;</w:t>
      </w:r>
      <w:r w:rsidRPr="00B259C9">
        <w:rPr>
          <w:rFonts w:ascii="Minion Pro" w:eastAsia="Times New Roman" w:hAnsi="Minion Pro" w:cs="Times New Roman"/>
          <w:color w:val="000000"/>
          <w:sz w:val="24"/>
          <w:szCs w:val="24"/>
          <w:lang w:eastAsia="hr-HR"/>
        </w:rPr>
        <w:br/>
        <w:t>– novčane naknade za vrijeme privremene spriječenosti za rad nakon isteka roka utvrđenog člankom 41. stavkom 4. Zakona o obveznom zdravstvenom osiguranju.</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7.</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Ugovor o dodatnom osiguranju mora sadržavati najmanje:</w:t>
      </w:r>
      <w:r w:rsidRPr="00B259C9">
        <w:rPr>
          <w:rFonts w:ascii="Minion Pro" w:eastAsia="Times New Roman" w:hAnsi="Minion Pro" w:cs="Times New Roman"/>
          <w:color w:val="000000"/>
          <w:sz w:val="24"/>
          <w:szCs w:val="24"/>
          <w:lang w:eastAsia="hr-HR"/>
        </w:rPr>
        <w:br/>
        <w:t>1. vrste i opseg dodatnoga osiguranja;</w:t>
      </w:r>
      <w:r w:rsidRPr="00B259C9">
        <w:rPr>
          <w:rFonts w:ascii="Minion Pro" w:eastAsia="Times New Roman" w:hAnsi="Minion Pro" w:cs="Times New Roman"/>
          <w:color w:val="000000"/>
          <w:sz w:val="24"/>
          <w:szCs w:val="24"/>
          <w:lang w:eastAsia="hr-HR"/>
        </w:rPr>
        <w:br/>
        <w:t>2. ime i prezime osiguranika, koji je sklopio ili za koga je, na temelju njegove suglasnosti, sklopljen ugovor o dodatnom osiguranju i koji koristi prava utvrđena ugovorom o dodatnom osiguranju;</w:t>
      </w:r>
      <w:r w:rsidRPr="00B259C9">
        <w:rPr>
          <w:rFonts w:ascii="Minion Pro" w:eastAsia="Times New Roman" w:hAnsi="Minion Pro" w:cs="Times New Roman"/>
          <w:color w:val="000000"/>
          <w:sz w:val="24"/>
          <w:szCs w:val="24"/>
          <w:lang w:eastAsia="hr-HR"/>
        </w:rPr>
        <w:br/>
        <w:t>3. naziv pravne ili fizičke osobe, tijela državne vlasti ili drugog tijela koje je za osiguranika na temelju njegove suglasnosti, sklopilo ugovor o dodatnom osiguranju;</w:t>
      </w:r>
      <w:r w:rsidRPr="00B259C9">
        <w:rPr>
          <w:rFonts w:ascii="Minion Pro" w:eastAsia="Times New Roman" w:hAnsi="Minion Pro" w:cs="Times New Roman"/>
          <w:color w:val="000000"/>
          <w:sz w:val="24"/>
          <w:szCs w:val="24"/>
          <w:lang w:eastAsia="hr-HR"/>
        </w:rPr>
        <w:br/>
        <w:t>4. uvjete provođenja dodatnoga osiguranja;</w:t>
      </w:r>
      <w:r w:rsidRPr="00B259C9">
        <w:rPr>
          <w:rFonts w:ascii="Minion Pro" w:eastAsia="Times New Roman" w:hAnsi="Minion Pro" w:cs="Times New Roman"/>
          <w:color w:val="000000"/>
          <w:sz w:val="24"/>
          <w:szCs w:val="24"/>
          <w:lang w:eastAsia="hr-HR"/>
        </w:rPr>
        <w:br/>
        <w:t>5. visinu i način plaćanja premije;</w:t>
      </w:r>
      <w:r w:rsidRPr="00B259C9">
        <w:rPr>
          <w:rFonts w:ascii="Minion Pro" w:eastAsia="Times New Roman" w:hAnsi="Minion Pro" w:cs="Times New Roman"/>
          <w:color w:val="000000"/>
          <w:sz w:val="24"/>
          <w:szCs w:val="24"/>
          <w:lang w:eastAsia="hr-HR"/>
        </w:rPr>
        <w:br/>
        <w:t>6. trajanje dodatnoga osiguranja;</w:t>
      </w:r>
      <w:r w:rsidRPr="00B259C9">
        <w:rPr>
          <w:rFonts w:ascii="Minion Pro" w:eastAsia="Times New Roman" w:hAnsi="Minion Pro" w:cs="Times New Roman"/>
          <w:color w:val="000000"/>
          <w:sz w:val="24"/>
          <w:szCs w:val="24"/>
          <w:lang w:eastAsia="hr-HR"/>
        </w:rPr>
        <w:br/>
        <w:t>7. popis zdravstvenih ustanova, trgovačkih društava koje obav</w:t>
      </w:r>
      <w:r w:rsidRPr="00B259C9">
        <w:rPr>
          <w:rFonts w:ascii="Minion Pro" w:eastAsia="Times New Roman" w:hAnsi="Minion Pro" w:cs="Times New Roman"/>
          <w:color w:val="000000"/>
          <w:sz w:val="24"/>
          <w:szCs w:val="24"/>
          <w:lang w:eastAsia="hr-HR"/>
        </w:rPr>
        <w:softHyphen/>
        <w:t>ljaju zdravstvenu djelatnost, odnosno privatnih zdravstvenih radnika kod kojih osiguranik može koristiti prava iz dodatnoga zdravstvenog osiguranja iz članka 5. točke 1.– 4. i članka 6. točke 1. ovoga Pravilnika.</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8.</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Zdravstvene ustanove, trgovačka društva koja obavljaju zdravstvenu djelatnost te privatni zdravstveni radnici sa sklopljenim ugovorom o provođenju zdravstvene zaštite sa Zavodom mogu sklopiti ugovor o dodatnom osiguranju iz članka 5. točke 1. – 4. i članka 6. točke 1. ovoga Pravilnika samo za kapacitete izvan ugovorenih kapaciteta sa Zavodom i izvan ugovorenog radnog vremena sa Zavodom.</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9.</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 xml:space="preserve">Za korištenje kapaciteta izvan ugovorenih kapaciteta Zavoda za provođenje dodatnoga osiguranja iz članka 8. ovoga Pravilnika zdravstvene ustanove, trgovačka društva koja obavljaju zdravstvenu djelatnost te privatni zdravstveni radnici obvezni su ishoditi suglasnost </w:t>
      </w:r>
      <w:r w:rsidRPr="00B259C9">
        <w:rPr>
          <w:rFonts w:ascii="Minion Pro" w:eastAsia="Times New Roman" w:hAnsi="Minion Pro" w:cs="Times New Roman"/>
          <w:color w:val="000000"/>
          <w:sz w:val="24"/>
          <w:szCs w:val="24"/>
          <w:lang w:eastAsia="hr-HR"/>
        </w:rPr>
        <w:lastRenderedPageBreak/>
        <w:t>ministra nadležnog za zdravstvo.</w:t>
      </w:r>
      <w:r w:rsidRPr="00B259C9">
        <w:rPr>
          <w:rFonts w:ascii="Minion Pro" w:eastAsia="Times New Roman" w:hAnsi="Minion Pro" w:cs="Times New Roman"/>
          <w:color w:val="000000"/>
          <w:sz w:val="24"/>
          <w:szCs w:val="24"/>
          <w:lang w:eastAsia="hr-HR"/>
        </w:rPr>
        <w:br/>
        <w:t>Po ishođenoj suglasnosti ministra nadležnog za zdravstvo iz stavka 1. ovoga članka, zdravstvena ustanova, odnosno trgovačko društvo koje obavlja zdravstvenu djelatnost može sklopiti ugovor o dodatnom zdravstvenom osiguranju na temelju prethodne odluke upravnog vijeća zdravstvene ustanove, odnosno nadležnog tijela trgovačkog društva.</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10.</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Osiguravatelj je obvezan dodatno osiguranje osigurati kao dugoročno osiguranje, u trajanju od najmanje godine dana.</w:t>
      </w:r>
      <w:r w:rsidRPr="00B259C9">
        <w:rPr>
          <w:rFonts w:ascii="Minion Pro" w:eastAsia="Times New Roman" w:hAnsi="Minion Pro" w:cs="Times New Roman"/>
          <w:color w:val="000000"/>
          <w:sz w:val="24"/>
          <w:szCs w:val="24"/>
          <w:lang w:eastAsia="hr-HR"/>
        </w:rPr>
        <w:br/>
        <w:t>Osiguravatelj je obvezan sklopiti ugovor o dodatnom osiguranju sa svakom osiguranom osobom Zavoda koja se želi osigurati za prava iz dodatnoga osiguranja po programima osiguravatelja.</w:t>
      </w:r>
      <w:r w:rsidRPr="00B259C9">
        <w:rPr>
          <w:rFonts w:ascii="Minion Pro" w:eastAsia="Times New Roman" w:hAnsi="Minion Pro" w:cs="Times New Roman"/>
          <w:color w:val="000000"/>
          <w:sz w:val="24"/>
          <w:szCs w:val="24"/>
          <w:lang w:eastAsia="hr-HR"/>
        </w:rPr>
        <w:br/>
        <w:t>Osiguravatelj je obvezan za sve osiguranike osigurati jednaka prava i obveze iz dodatnoga osiguranja po pojedinom programu osiguravatelja.</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11.</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Na temelju sklopljenog ugovora o dodatnom osiguranju osiguravatelj izdaje osiguraniku iskaznicu dodatnoga osiguranja, kojom se dokazuje status osiguranika dodatnoga osiguranja.</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12.</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Iskaznica iz članka 11. ovoga Pravilnika, dimenzija 85x55 mm, izrađuje se prema obrascu, koji je otiskan uz ovaj Pravilnik i njegov je sastavni dio.</w:t>
      </w:r>
      <w:r w:rsidRPr="00B259C9">
        <w:rPr>
          <w:rFonts w:ascii="Minion Pro" w:eastAsia="Times New Roman" w:hAnsi="Minion Pro" w:cs="Times New Roman"/>
          <w:color w:val="000000"/>
          <w:sz w:val="24"/>
          <w:szCs w:val="24"/>
          <w:lang w:eastAsia="hr-HR"/>
        </w:rPr>
        <w:br/>
        <w:t>Prednja strana iskaznice sadrži:</w:t>
      </w:r>
      <w:r w:rsidRPr="00B259C9">
        <w:rPr>
          <w:rFonts w:ascii="Minion Pro" w:eastAsia="Times New Roman" w:hAnsi="Minion Pro" w:cs="Times New Roman"/>
          <w:color w:val="000000"/>
          <w:sz w:val="24"/>
          <w:szCs w:val="24"/>
          <w:lang w:eastAsia="hr-HR"/>
        </w:rPr>
        <w:br/>
        <w:t>– na gornjoj lijevoj strani naziv i adresu osiguravatelja,</w:t>
      </w:r>
      <w:r w:rsidRPr="00B259C9">
        <w:rPr>
          <w:rFonts w:ascii="Minion Pro" w:eastAsia="Times New Roman" w:hAnsi="Minion Pro" w:cs="Times New Roman"/>
          <w:color w:val="000000"/>
          <w:sz w:val="24"/>
          <w:szCs w:val="24"/>
          <w:lang w:eastAsia="hr-HR"/>
        </w:rPr>
        <w:br/>
        <w:t>– desno od naziva i adrese osiguravatelja, ispisano je ISKAZNICA DODATNOGA ZDRAVSTVENOG OSIGURANJA, a ispod toga ime i prezime, adresa, dan, mjesec i godina rođenja i mjesto rođenja te broj osobne iskaznice osiguranika, naznaku vrste, opsega i šifre dodatnoga zdravstvenog osiguranja, broj police s naznakom trajanja (od – do) te mjesto i datum izdavanja iskaznice.</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13.</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Prilikom korištenja zdravstvene zaštite iz članka 5. točke 1.– 4. i članka 6. točke 1. ovoga Pravilnika osiguranici moraju uz iskaznicu zdravstveno osigurane osobe Zavoda priložiti i iskaznicu dodatnoga osiguranja.</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Članak 14.</w:t>
      </w:r>
    </w:p>
    <w:p w:rsidR="00B259C9" w:rsidRPr="00B259C9" w:rsidRDefault="00B259C9" w:rsidP="00B259C9">
      <w:pPr>
        <w:spacing w:after="225"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Ovaj Pravilnik stupa na snagu osmoga dana od dana objave u »Narodnim novinama«.</w:t>
      </w:r>
      <w:r w:rsidRPr="00B259C9">
        <w:rPr>
          <w:rFonts w:ascii="Minion Pro" w:eastAsia="Times New Roman" w:hAnsi="Minion Pro" w:cs="Times New Roman"/>
          <w:color w:val="000000"/>
          <w:sz w:val="24"/>
          <w:szCs w:val="24"/>
          <w:lang w:eastAsia="hr-HR"/>
        </w:rPr>
        <w:br/>
      </w:r>
      <w:r w:rsidRPr="00B259C9">
        <w:rPr>
          <w:rFonts w:ascii="Minion Pro" w:eastAsia="Times New Roman" w:hAnsi="Minion Pro" w:cs="Times New Roman"/>
          <w:color w:val="000000"/>
          <w:sz w:val="24"/>
          <w:szCs w:val="24"/>
          <w:lang w:eastAsia="hr-HR"/>
        </w:rPr>
        <w:br/>
        <w:t>Klasa: 011-02/06-04/24</w:t>
      </w:r>
      <w:r w:rsidRPr="00B259C9">
        <w:rPr>
          <w:rFonts w:ascii="Minion Pro" w:eastAsia="Times New Roman" w:hAnsi="Minion Pro" w:cs="Times New Roman"/>
          <w:color w:val="000000"/>
          <w:sz w:val="24"/>
          <w:szCs w:val="24"/>
          <w:lang w:eastAsia="hr-HR"/>
        </w:rPr>
        <w:br/>
        <w:t>Urbroj: 534-07-06-1</w:t>
      </w:r>
      <w:r w:rsidRPr="00B259C9">
        <w:rPr>
          <w:rFonts w:ascii="Minion Pro" w:eastAsia="Times New Roman" w:hAnsi="Minion Pro" w:cs="Times New Roman"/>
          <w:color w:val="000000"/>
          <w:sz w:val="24"/>
          <w:szCs w:val="24"/>
          <w:lang w:eastAsia="hr-HR"/>
        </w:rPr>
        <w:br/>
        <w:t>Zagreb, 13. listopada 2006.</w:t>
      </w:r>
    </w:p>
    <w:p w:rsidR="00B259C9" w:rsidRPr="00B259C9" w:rsidRDefault="00B259C9" w:rsidP="00B259C9">
      <w:pPr>
        <w:spacing w:after="225" w:line="240" w:lineRule="auto"/>
        <w:jc w:val="center"/>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t>Ministar</w:t>
      </w:r>
      <w:r w:rsidRPr="00B259C9">
        <w:rPr>
          <w:rFonts w:ascii="Minion Pro" w:eastAsia="Times New Roman" w:hAnsi="Minion Pro" w:cs="Times New Roman"/>
          <w:color w:val="000000"/>
          <w:sz w:val="24"/>
          <w:szCs w:val="24"/>
          <w:lang w:eastAsia="hr-HR"/>
        </w:rPr>
        <w:br/>
      </w:r>
      <w:r w:rsidRPr="00B259C9">
        <w:rPr>
          <w:rFonts w:ascii="Minion Pro" w:eastAsia="Times New Roman" w:hAnsi="Minion Pro" w:cs="Times New Roman"/>
          <w:b/>
          <w:bCs/>
          <w:color w:val="000000"/>
          <w:sz w:val="24"/>
          <w:szCs w:val="24"/>
          <w:lang w:eastAsia="hr-HR"/>
        </w:rPr>
        <w:t>doc. dr. sc. Neven Ljubičić</w:t>
      </w:r>
      <w:r w:rsidRPr="00B259C9">
        <w:rPr>
          <w:rFonts w:ascii="Minion Pro" w:eastAsia="Times New Roman" w:hAnsi="Minion Pro" w:cs="Times New Roman"/>
          <w:color w:val="000000"/>
          <w:sz w:val="24"/>
          <w:szCs w:val="24"/>
          <w:lang w:eastAsia="hr-HR"/>
        </w:rPr>
        <w:t>, v. r.</w:t>
      </w:r>
    </w:p>
    <w:p w:rsidR="00B259C9" w:rsidRPr="00B259C9" w:rsidRDefault="00B259C9" w:rsidP="00B259C9">
      <w:pPr>
        <w:spacing w:line="240" w:lineRule="auto"/>
        <w:textAlignment w:val="baseline"/>
        <w:rPr>
          <w:rFonts w:ascii="Minion Pro" w:eastAsia="Times New Roman" w:hAnsi="Minion Pro" w:cs="Times New Roman"/>
          <w:color w:val="000000"/>
          <w:sz w:val="24"/>
          <w:szCs w:val="24"/>
          <w:lang w:eastAsia="hr-HR"/>
        </w:rPr>
      </w:pPr>
      <w:r w:rsidRPr="00B259C9">
        <w:rPr>
          <w:rFonts w:ascii="Minion Pro" w:eastAsia="Times New Roman" w:hAnsi="Minion Pro" w:cs="Times New Roman"/>
          <w:color w:val="000000"/>
          <w:sz w:val="24"/>
          <w:szCs w:val="24"/>
          <w:lang w:eastAsia="hr-HR"/>
        </w:rPr>
        <w:lastRenderedPageBreak/>
        <w:br/>
      </w:r>
      <w:r w:rsidRPr="00B259C9">
        <w:rPr>
          <w:rFonts w:ascii="Minion Pro" w:eastAsia="Times New Roman" w:hAnsi="Minion Pro" w:cs="Times New Roman"/>
          <w:noProof/>
          <w:color w:val="000000"/>
          <w:sz w:val="24"/>
          <w:szCs w:val="24"/>
          <w:lang w:eastAsia="hr-HR"/>
        </w:rPr>
        <w:drawing>
          <wp:inline distT="0" distB="0" distL="0" distR="0">
            <wp:extent cx="4676775" cy="3095625"/>
            <wp:effectExtent l="0" t="0" r="9525" b="9525"/>
            <wp:docPr id="1" name="Picture 1" descr="https://narodne-novine.nn.hr/clanci/sluzbeni/dodatni/1436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clanci/sluzbeni/dodatni/143649.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6775" cy="3095625"/>
                    </a:xfrm>
                    <a:prstGeom prst="rect">
                      <a:avLst/>
                    </a:prstGeom>
                    <a:noFill/>
                    <a:ln>
                      <a:noFill/>
                    </a:ln>
                  </pic:spPr>
                </pic:pic>
              </a:graphicData>
            </a:graphic>
          </wp:inline>
        </w:drawing>
      </w:r>
    </w:p>
    <w:p w:rsidR="008A1BA9" w:rsidRDefault="008A1BA9"/>
    <w:p w:rsidR="00B259C9" w:rsidRDefault="00B259C9"/>
    <w:p w:rsidR="00B259C9" w:rsidRDefault="00B259C9" w:rsidP="00B259C9">
      <w:pPr>
        <w:pStyle w:val="NormalWeb"/>
        <w:spacing w:before="0" w:beforeAutospacing="0" w:after="225" w:afterAutospacing="0"/>
        <w:textAlignment w:val="baseline"/>
        <w:rPr>
          <w:rFonts w:ascii="Minion Pro" w:hAnsi="Minion Pro"/>
          <w:color w:val="000000"/>
        </w:rPr>
      </w:pPr>
      <w:r>
        <w:rPr>
          <w:rFonts w:ascii="Minion Pro" w:hAnsi="Minion Pro"/>
          <w:color w:val="000000"/>
        </w:rPr>
        <w:t>Na temelju članka 25. Zakona o dobrovoljnom zdravstvenom osiguranju (»Narodne novine«, br. 85/06) ministar zdravstva i socijalne skrbi donosi</w:t>
      </w:r>
    </w:p>
    <w:p w:rsidR="00B259C9" w:rsidRDefault="00B259C9" w:rsidP="00B259C9">
      <w:pPr>
        <w:pStyle w:val="Heading2"/>
        <w:spacing w:before="240" w:beforeAutospacing="0" w:after="240" w:afterAutospacing="0" w:line="288" w:lineRule="atLeast"/>
        <w:jc w:val="center"/>
        <w:textAlignment w:val="baseline"/>
        <w:rPr>
          <w:rFonts w:ascii="Minion Pro" w:hAnsi="Minion Pro"/>
          <w:color w:val="000000"/>
          <w:sz w:val="33"/>
          <w:szCs w:val="33"/>
        </w:rPr>
      </w:pPr>
      <w:r>
        <w:rPr>
          <w:rFonts w:ascii="Minion Pro" w:hAnsi="Minion Pro"/>
          <w:color w:val="000000"/>
          <w:sz w:val="33"/>
          <w:szCs w:val="33"/>
        </w:rPr>
        <w:t>PRAVILNIK</w:t>
      </w:r>
    </w:p>
    <w:p w:rsidR="00B259C9" w:rsidRDefault="00B259C9" w:rsidP="00B259C9">
      <w:pPr>
        <w:pStyle w:val="Heading3"/>
        <w:spacing w:before="240" w:beforeAutospacing="0" w:after="240" w:afterAutospacing="0"/>
        <w:jc w:val="center"/>
        <w:textAlignment w:val="baseline"/>
        <w:rPr>
          <w:rFonts w:ascii="Minion Pro" w:hAnsi="Minion Pro"/>
          <w:color w:val="000000"/>
          <w:sz w:val="24"/>
          <w:szCs w:val="24"/>
        </w:rPr>
      </w:pPr>
      <w:r>
        <w:rPr>
          <w:rFonts w:ascii="Minion Pro" w:hAnsi="Minion Pro"/>
          <w:color w:val="000000"/>
          <w:sz w:val="24"/>
          <w:szCs w:val="24"/>
        </w:rPr>
        <w:t>O IZMJENAMA I DOPUNI PRAVILNIKA O UVJETIMA I NAČINU PROVOĐENJA DODATNOGA ZDRAVSTVENOG OSIGURANJA</w:t>
      </w:r>
    </w:p>
    <w:p w:rsidR="00B259C9" w:rsidRDefault="00B259C9" w:rsidP="00B259C9">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B259C9" w:rsidRDefault="00B259C9" w:rsidP="00B259C9">
      <w:pPr>
        <w:pStyle w:val="NormalWeb"/>
        <w:spacing w:before="0" w:beforeAutospacing="0" w:after="225" w:afterAutospacing="0"/>
        <w:textAlignment w:val="baseline"/>
        <w:rPr>
          <w:rFonts w:ascii="Minion Pro" w:hAnsi="Minion Pro"/>
          <w:color w:val="000000"/>
        </w:rPr>
      </w:pPr>
      <w:r>
        <w:rPr>
          <w:rFonts w:ascii="Minion Pro" w:hAnsi="Minion Pro"/>
          <w:color w:val="000000"/>
        </w:rPr>
        <w:t>U Pravilniku o uvjetima i načinu provođenja dodatnoga zdravstvenog osiguranja (»Narodne novine«, br. 112/06) članak 12. mijenja se i glasi:</w:t>
      </w:r>
      <w:r>
        <w:rPr>
          <w:rFonts w:ascii="Minion Pro" w:hAnsi="Minion Pro"/>
          <w:color w:val="000000"/>
        </w:rPr>
        <w:br/>
        <w:t>»Članak 12.</w:t>
      </w:r>
      <w:r>
        <w:rPr>
          <w:rFonts w:ascii="Minion Pro" w:hAnsi="Minion Pro"/>
          <w:color w:val="000000"/>
        </w:rPr>
        <w:br/>
        <w:t>Iskaznica iz članka 11. ovoga Pravilnika izrađena je od tvrde plastike dimenzija 85,6x53,98 mm s otisnutim podacima, magnetskom trakom i trakom za potpis.</w:t>
      </w:r>
      <w:r>
        <w:rPr>
          <w:rFonts w:ascii="Minion Pro" w:hAnsi="Minion Pro"/>
          <w:color w:val="000000"/>
        </w:rPr>
        <w:br/>
        <w:t>Iskaznica sadrži najmanje sljedeća obilježja, odnosno podatke:</w:t>
      </w:r>
      <w:r>
        <w:rPr>
          <w:rFonts w:ascii="Minion Pro" w:hAnsi="Minion Pro"/>
          <w:color w:val="000000"/>
        </w:rPr>
        <w:br/>
        <w:t>1. NA PREDNJOJ STRANI:</w:t>
      </w:r>
      <w:r>
        <w:rPr>
          <w:rFonts w:ascii="Minion Pro" w:hAnsi="Minion Pro"/>
          <w:color w:val="000000"/>
        </w:rPr>
        <w:br/>
        <w:t>a) otisnuti logotip osiguravatelja, odnosno Zavoda,</w:t>
      </w:r>
      <w:r>
        <w:rPr>
          <w:rFonts w:ascii="Minion Pro" w:hAnsi="Minion Pro"/>
          <w:color w:val="000000"/>
        </w:rPr>
        <w:br/>
        <w:t>b) otisnute podatke:</w:t>
      </w:r>
      <w:r>
        <w:rPr>
          <w:rFonts w:ascii="Minion Pro" w:hAnsi="Minion Pro"/>
          <w:color w:val="000000"/>
        </w:rPr>
        <w:br/>
        <w:t>– vrsta dobrovoljnoga zdravstvenog osiguranja,</w:t>
      </w:r>
      <w:r>
        <w:rPr>
          <w:rFonts w:ascii="Minion Pro" w:hAnsi="Minion Pro"/>
          <w:color w:val="000000"/>
        </w:rPr>
        <w:br/>
        <w:t>– broj iskaznice,</w:t>
      </w:r>
      <w:r>
        <w:rPr>
          <w:rFonts w:ascii="Minion Pro" w:hAnsi="Minion Pro"/>
          <w:color w:val="000000"/>
        </w:rPr>
        <w:br/>
        <w:t>– ime i prezime osiguranika,</w:t>
      </w:r>
      <w:r>
        <w:rPr>
          <w:rFonts w:ascii="Minion Pro" w:hAnsi="Minion Pro"/>
          <w:color w:val="000000"/>
        </w:rPr>
        <w:br/>
        <w:t>– matični broj osigurane osobe u obveznom zdravstvenom osiguranju,</w:t>
      </w:r>
      <w:r>
        <w:rPr>
          <w:rFonts w:ascii="Minion Pro" w:hAnsi="Minion Pro"/>
          <w:color w:val="000000"/>
        </w:rPr>
        <w:br/>
        <w:t>– rok valjanosti iskaznice (početak i završetak važenja police).</w:t>
      </w:r>
      <w:r>
        <w:rPr>
          <w:rFonts w:ascii="Minion Pro" w:hAnsi="Minion Pro"/>
          <w:color w:val="000000"/>
        </w:rPr>
        <w:br/>
        <w:t>2. NA POLEĐINI ISKAZNICE:</w:t>
      </w:r>
      <w:r>
        <w:rPr>
          <w:rFonts w:ascii="Minion Pro" w:hAnsi="Minion Pro"/>
          <w:color w:val="000000"/>
        </w:rPr>
        <w:br/>
        <w:t>a) magnetska traka s upisanim sljedećim podacima:</w:t>
      </w:r>
      <w:r>
        <w:rPr>
          <w:rFonts w:ascii="Minion Pro" w:hAnsi="Minion Pro"/>
          <w:color w:val="000000"/>
        </w:rPr>
        <w:br/>
        <w:t>– broj iskaznice,</w:t>
      </w:r>
      <w:r>
        <w:rPr>
          <w:rFonts w:ascii="Minion Pro" w:hAnsi="Minion Pro"/>
          <w:color w:val="000000"/>
        </w:rPr>
        <w:br/>
        <w:t>– ime i prezime osiguranika,</w:t>
      </w:r>
      <w:r>
        <w:rPr>
          <w:rFonts w:ascii="Minion Pro" w:hAnsi="Minion Pro"/>
          <w:color w:val="000000"/>
        </w:rPr>
        <w:br/>
      </w:r>
      <w:r>
        <w:rPr>
          <w:rFonts w:ascii="Minion Pro" w:hAnsi="Minion Pro"/>
          <w:color w:val="000000"/>
        </w:rPr>
        <w:lastRenderedPageBreak/>
        <w:t>– matični broj osigurane osobe u obveznom zdravstvenom osiguranju,</w:t>
      </w:r>
      <w:r>
        <w:rPr>
          <w:rFonts w:ascii="Minion Pro" w:hAnsi="Minion Pro"/>
          <w:color w:val="000000"/>
        </w:rPr>
        <w:br/>
        <w:t>– rok valjanosti iskaznice (početak i završetak važenja police),</w:t>
      </w:r>
      <w:r>
        <w:rPr>
          <w:rFonts w:ascii="Minion Pro" w:hAnsi="Minion Pro"/>
          <w:color w:val="000000"/>
        </w:rPr>
        <w:br/>
        <w:t>b) traka za potpis osiguranika,</w:t>
      </w:r>
      <w:r>
        <w:rPr>
          <w:rFonts w:ascii="Minion Pro" w:hAnsi="Minion Pro"/>
          <w:color w:val="000000"/>
        </w:rPr>
        <w:br/>
        <w:t>c) kratka uputa o korištenju i odgovornosti u vezi s uporabom iskaznice.</w:t>
      </w:r>
      <w:r>
        <w:rPr>
          <w:rFonts w:ascii="Minion Pro" w:hAnsi="Minion Pro"/>
          <w:color w:val="000000"/>
        </w:rPr>
        <w:br/>
        <w:t>Pored obilježja i podataka iz stavka 2. ovoga članka osiguravatelj, odnosno Zavod može na iskaznicu dodati i podatke, odnosno obilježja utvrđena svojim općim aktom.«</w:t>
      </w:r>
    </w:p>
    <w:p w:rsidR="00B259C9" w:rsidRDefault="00B259C9" w:rsidP="00B259C9">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B259C9" w:rsidRDefault="00B259C9" w:rsidP="00B259C9">
      <w:pPr>
        <w:pStyle w:val="NormalWeb"/>
        <w:spacing w:before="0" w:beforeAutospacing="0" w:after="225" w:afterAutospacing="0"/>
        <w:textAlignment w:val="baseline"/>
        <w:rPr>
          <w:rFonts w:ascii="Minion Pro" w:hAnsi="Minion Pro"/>
          <w:color w:val="000000"/>
        </w:rPr>
      </w:pPr>
      <w:r>
        <w:rPr>
          <w:rFonts w:ascii="Minion Pro" w:hAnsi="Minion Pro"/>
          <w:color w:val="000000"/>
        </w:rPr>
        <w:t>Iza članka 13. dodaje se članak 13.a koji glasi:</w:t>
      </w:r>
    </w:p>
    <w:p w:rsidR="00B259C9" w:rsidRDefault="00B259C9" w:rsidP="00B259C9">
      <w:pPr>
        <w:pStyle w:val="NormalWeb"/>
        <w:spacing w:before="0" w:beforeAutospacing="0" w:after="225" w:afterAutospacing="0"/>
        <w:jc w:val="center"/>
        <w:textAlignment w:val="baseline"/>
        <w:rPr>
          <w:rFonts w:ascii="Minion Pro" w:hAnsi="Minion Pro"/>
          <w:color w:val="000000"/>
        </w:rPr>
      </w:pPr>
      <w:r>
        <w:rPr>
          <w:rFonts w:ascii="Minion Pro" w:hAnsi="Minion Pro"/>
          <w:i/>
          <w:iCs/>
          <w:color w:val="000000"/>
        </w:rPr>
        <w:t>»Članak 13.a</w:t>
      </w:r>
    </w:p>
    <w:p w:rsidR="00B259C9" w:rsidRDefault="00B259C9" w:rsidP="00B259C9">
      <w:pPr>
        <w:pStyle w:val="NormalWeb"/>
        <w:spacing w:before="0" w:beforeAutospacing="0" w:after="225" w:afterAutospacing="0"/>
        <w:textAlignment w:val="baseline"/>
        <w:rPr>
          <w:rFonts w:ascii="Minion Pro" w:hAnsi="Minion Pro"/>
          <w:color w:val="000000"/>
        </w:rPr>
      </w:pPr>
      <w:r>
        <w:rPr>
          <w:rFonts w:ascii="Minion Pro" w:hAnsi="Minion Pro"/>
          <w:color w:val="000000"/>
        </w:rPr>
        <w:t>Do dana izdavanja iskaznice dodatnoga zdravstvenog osiguranja sukladno ovome Pravilniku osiguranik dodatnoga zdravstvenog osiguranja svoj status dokazuje policom.«</w:t>
      </w:r>
    </w:p>
    <w:p w:rsidR="00B259C9" w:rsidRDefault="00B259C9" w:rsidP="00B259C9">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B259C9" w:rsidRDefault="00B259C9" w:rsidP="00B259C9">
      <w:pPr>
        <w:pStyle w:val="NormalWeb"/>
        <w:spacing w:before="0" w:beforeAutospacing="0" w:after="225" w:afterAutospacing="0"/>
        <w:textAlignment w:val="baseline"/>
        <w:rPr>
          <w:rFonts w:ascii="Minion Pro" w:hAnsi="Minion Pro"/>
          <w:color w:val="000000"/>
        </w:rPr>
      </w:pPr>
      <w:r>
        <w:rPr>
          <w:rFonts w:ascii="Minion Pro" w:hAnsi="Minion Pro"/>
          <w:color w:val="000000"/>
        </w:rPr>
        <w:t>Način dostave matičnog broja osigurane osobe u obveznom zdravstvenom osiguranju ugovaratelju dodatnoga zdravstvenog osiguranja od strane Zavoda utvrdit će se općim aktom Zavoda.</w:t>
      </w:r>
    </w:p>
    <w:p w:rsidR="00B259C9" w:rsidRDefault="00B259C9" w:rsidP="00B259C9">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B259C9" w:rsidRDefault="00B259C9" w:rsidP="00B259C9">
      <w:pPr>
        <w:pStyle w:val="NormalWeb"/>
        <w:spacing w:before="0" w:beforeAutospacing="0" w:after="225" w:afterAutospacing="0"/>
        <w:textAlignment w:val="baseline"/>
        <w:rPr>
          <w:rFonts w:ascii="Minion Pro" w:hAnsi="Minion Pro"/>
          <w:color w:val="000000"/>
        </w:rPr>
      </w:pPr>
      <w:r>
        <w:rPr>
          <w:rFonts w:ascii="Minion Pro" w:hAnsi="Minion Pro"/>
          <w:color w:val="000000"/>
        </w:rPr>
        <w:t>Ovaj Pravilnik stupa na snagu osmoga dana od dana objave u »Narodnim novinama«.</w:t>
      </w:r>
      <w:r>
        <w:rPr>
          <w:rFonts w:ascii="Minion Pro" w:hAnsi="Minion Pro"/>
          <w:color w:val="000000"/>
        </w:rPr>
        <w:br/>
      </w:r>
      <w:r>
        <w:rPr>
          <w:rFonts w:ascii="Minion Pro" w:hAnsi="Minion Pro"/>
          <w:color w:val="000000"/>
        </w:rPr>
        <w:br/>
        <w:t>Klasa: 011-02/06-04/29</w:t>
      </w:r>
      <w:r>
        <w:rPr>
          <w:rFonts w:ascii="Minion Pro" w:hAnsi="Minion Pro"/>
          <w:color w:val="000000"/>
        </w:rPr>
        <w:br/>
        <w:t>Urbroj: 534-07-06-1</w:t>
      </w:r>
      <w:r>
        <w:rPr>
          <w:rFonts w:ascii="Minion Pro" w:hAnsi="Minion Pro"/>
          <w:color w:val="000000"/>
        </w:rPr>
        <w:br/>
        <w:t>Zagreb, 20. studenoga 2006.</w:t>
      </w:r>
    </w:p>
    <w:p w:rsidR="00B259C9" w:rsidRDefault="00B259C9" w:rsidP="00B259C9">
      <w:pPr>
        <w:pStyle w:val="NormalWeb"/>
        <w:spacing w:before="0" w:beforeAutospacing="0" w:after="225" w:afterAutospacing="0"/>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Fonts w:ascii="Minion Pro" w:hAnsi="Minion Pro"/>
          <w:b/>
          <w:bCs/>
          <w:color w:val="000000"/>
        </w:rPr>
        <w:t>doc. dr. sc. Neven Ljubičić</w:t>
      </w:r>
      <w:r>
        <w:rPr>
          <w:rFonts w:ascii="Minion Pro" w:hAnsi="Minion Pro"/>
          <w:color w:val="000000"/>
        </w:rPr>
        <w:t>, v. r.</w:t>
      </w:r>
    </w:p>
    <w:p w:rsidR="00B259C9" w:rsidRDefault="00B259C9">
      <w:bookmarkStart w:id="0" w:name="_GoBack"/>
      <w:bookmarkEnd w:id="0"/>
    </w:p>
    <w:sectPr w:rsidR="00B25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30"/>
    <w:rsid w:val="00271230"/>
    <w:rsid w:val="008A1BA9"/>
    <w:rsid w:val="00B259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3B31"/>
  <w15:chartTrackingRefBased/>
  <w15:docId w15:val="{A03B75CE-DF16-45C7-8F86-0D4935B5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5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B259C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B259C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9C9"/>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B259C9"/>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B259C9"/>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B259C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90616">
      <w:bodyDiv w:val="1"/>
      <w:marLeft w:val="0"/>
      <w:marRight w:val="0"/>
      <w:marTop w:val="0"/>
      <w:marBottom w:val="0"/>
      <w:divBdr>
        <w:top w:val="none" w:sz="0" w:space="0" w:color="auto"/>
        <w:left w:val="none" w:sz="0" w:space="0" w:color="auto"/>
        <w:bottom w:val="none" w:sz="0" w:space="0" w:color="auto"/>
        <w:right w:val="none" w:sz="0" w:space="0" w:color="auto"/>
      </w:divBdr>
      <w:divsChild>
        <w:div w:id="440495660">
          <w:marLeft w:val="0"/>
          <w:marRight w:val="0"/>
          <w:marTop w:val="300"/>
          <w:marBottom w:val="450"/>
          <w:divBdr>
            <w:top w:val="none" w:sz="0" w:space="0" w:color="auto"/>
            <w:left w:val="none" w:sz="0" w:space="0" w:color="auto"/>
            <w:bottom w:val="none" w:sz="0" w:space="0" w:color="auto"/>
            <w:right w:val="none" w:sz="0" w:space="0" w:color="auto"/>
          </w:divBdr>
          <w:divsChild>
            <w:div w:id="1836416717">
              <w:marLeft w:val="0"/>
              <w:marRight w:val="0"/>
              <w:marTop w:val="0"/>
              <w:marBottom w:val="0"/>
              <w:divBdr>
                <w:top w:val="none" w:sz="0" w:space="0" w:color="auto"/>
                <w:left w:val="none" w:sz="0" w:space="0" w:color="auto"/>
                <w:bottom w:val="none" w:sz="0" w:space="0" w:color="auto"/>
                <w:right w:val="none" w:sz="0" w:space="0" w:color="auto"/>
              </w:divBdr>
              <w:divsChild>
                <w:div w:id="13702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73913">
      <w:bodyDiv w:val="1"/>
      <w:marLeft w:val="0"/>
      <w:marRight w:val="0"/>
      <w:marTop w:val="0"/>
      <w:marBottom w:val="0"/>
      <w:divBdr>
        <w:top w:val="none" w:sz="0" w:space="0" w:color="auto"/>
        <w:left w:val="none" w:sz="0" w:space="0" w:color="auto"/>
        <w:bottom w:val="none" w:sz="0" w:space="0" w:color="auto"/>
        <w:right w:val="none" w:sz="0" w:space="0" w:color="auto"/>
      </w:divBdr>
      <w:divsChild>
        <w:div w:id="964773568">
          <w:marLeft w:val="0"/>
          <w:marRight w:val="0"/>
          <w:marTop w:val="300"/>
          <w:marBottom w:val="450"/>
          <w:divBdr>
            <w:top w:val="none" w:sz="0" w:space="0" w:color="auto"/>
            <w:left w:val="none" w:sz="0" w:space="0" w:color="auto"/>
            <w:bottom w:val="none" w:sz="0" w:space="0" w:color="auto"/>
            <w:right w:val="none" w:sz="0" w:space="0" w:color="auto"/>
          </w:divBdr>
          <w:divsChild>
            <w:div w:id="228460229">
              <w:marLeft w:val="0"/>
              <w:marRight w:val="0"/>
              <w:marTop w:val="0"/>
              <w:marBottom w:val="0"/>
              <w:divBdr>
                <w:top w:val="none" w:sz="0" w:space="0" w:color="auto"/>
                <w:left w:val="none" w:sz="0" w:space="0" w:color="auto"/>
                <w:bottom w:val="none" w:sz="0" w:space="0" w:color="auto"/>
                <w:right w:val="none" w:sz="0" w:space="0" w:color="auto"/>
              </w:divBdr>
              <w:divsChild>
                <w:div w:id="468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2017-10-18T22:03:00Z</dcterms:created>
  <dcterms:modified xsi:type="dcterms:W3CDTF">2017-10-18T22:03:00Z</dcterms:modified>
</cp:coreProperties>
</file>