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21E" w:rsidRPr="002E621E" w:rsidRDefault="002E621E" w:rsidP="002E621E">
      <w:pPr>
        <w:spacing w:after="225" w:line="240" w:lineRule="auto"/>
        <w:jc w:val="center"/>
        <w:textAlignment w:val="baseline"/>
        <w:rPr>
          <w:rFonts w:ascii="Minion Pro" w:eastAsia="Times New Roman" w:hAnsi="Minion Pro" w:cs="Times New Roman"/>
          <w:b/>
          <w:bCs/>
          <w:color w:val="000000"/>
          <w:sz w:val="40"/>
          <w:szCs w:val="40"/>
          <w:lang w:eastAsia="hr-HR"/>
        </w:rPr>
      </w:pPr>
      <w:r w:rsidRPr="002E621E">
        <w:rPr>
          <w:rFonts w:ascii="Minion Pro" w:eastAsia="Times New Roman" w:hAnsi="Minion Pro" w:cs="Times New Roman"/>
          <w:b/>
          <w:bCs/>
          <w:color w:val="000000"/>
          <w:sz w:val="40"/>
          <w:szCs w:val="40"/>
          <w:lang w:eastAsia="hr-HR"/>
        </w:rPr>
        <w:t>MINISTARSTVO FINANCIJA</w:t>
      </w:r>
    </w:p>
    <w:p w:rsidR="002E621E" w:rsidRPr="002E621E" w:rsidRDefault="002E621E" w:rsidP="002E621E">
      <w:pPr>
        <w:spacing w:after="225" w:line="240" w:lineRule="auto"/>
        <w:jc w:val="right"/>
        <w:textAlignment w:val="baseline"/>
        <w:rPr>
          <w:rFonts w:ascii="Minion Pro" w:eastAsia="Times New Roman" w:hAnsi="Minion Pro" w:cs="Times New Roman"/>
          <w:b/>
          <w:bCs/>
          <w:color w:val="000000"/>
          <w:sz w:val="26"/>
          <w:szCs w:val="26"/>
          <w:lang w:eastAsia="hr-HR"/>
        </w:rPr>
      </w:pPr>
      <w:r w:rsidRPr="002E621E">
        <w:rPr>
          <w:rFonts w:ascii="Minion Pro" w:eastAsia="Times New Roman" w:hAnsi="Minion Pro" w:cs="Times New Roman"/>
          <w:b/>
          <w:bCs/>
          <w:color w:val="000000"/>
          <w:sz w:val="26"/>
          <w:szCs w:val="26"/>
          <w:lang w:eastAsia="hr-HR"/>
        </w:rPr>
        <w:t>3297</w:t>
      </w:r>
    </w:p>
    <w:p w:rsidR="002E621E" w:rsidRPr="002E621E" w:rsidRDefault="002E621E" w:rsidP="002E621E">
      <w:pPr>
        <w:spacing w:after="225" w:line="240" w:lineRule="auto"/>
        <w:jc w:val="both"/>
        <w:textAlignment w:val="baseline"/>
        <w:rPr>
          <w:rFonts w:ascii="Minion Pro" w:eastAsia="Times New Roman" w:hAnsi="Minion Pro" w:cs="Times New Roman"/>
          <w:color w:val="000000"/>
          <w:sz w:val="24"/>
          <w:szCs w:val="24"/>
          <w:lang w:eastAsia="hr-HR"/>
        </w:rPr>
      </w:pPr>
      <w:r w:rsidRPr="002E621E">
        <w:rPr>
          <w:rFonts w:ascii="Minion Pro" w:eastAsia="Times New Roman" w:hAnsi="Minion Pro" w:cs="Times New Roman"/>
          <w:color w:val="000000"/>
          <w:sz w:val="24"/>
          <w:szCs w:val="24"/>
          <w:lang w:eastAsia="hr-HR"/>
        </w:rPr>
        <w:t>Na temelju članka 254. stavak 1. Zakona o doprinosima (»Narodne novine«, broj 84/08, 152/08, 94/09, 18/11, 22/12, 144/12 i 148/13) i članka 9. stavak 4. Zakona o poticanju zapošljavanja (»Narodne novine«, broj 57/12 i 120/12) ministar financija donosi</w:t>
      </w:r>
    </w:p>
    <w:p w:rsidR="002E621E" w:rsidRPr="002E621E" w:rsidRDefault="002E621E" w:rsidP="002E621E">
      <w:pPr>
        <w:spacing w:after="225" w:line="240" w:lineRule="auto"/>
        <w:jc w:val="center"/>
        <w:textAlignment w:val="baseline"/>
        <w:rPr>
          <w:rFonts w:ascii="Minion Pro" w:eastAsia="Times New Roman" w:hAnsi="Minion Pro" w:cs="Times New Roman"/>
          <w:b/>
          <w:bCs/>
          <w:color w:val="000000"/>
          <w:sz w:val="36"/>
          <w:szCs w:val="36"/>
          <w:lang w:eastAsia="hr-HR"/>
        </w:rPr>
      </w:pPr>
      <w:r w:rsidRPr="002E621E">
        <w:rPr>
          <w:rFonts w:ascii="Minion Pro" w:eastAsia="Times New Roman" w:hAnsi="Minion Pro" w:cs="Times New Roman"/>
          <w:b/>
          <w:bCs/>
          <w:color w:val="000000"/>
          <w:sz w:val="36"/>
          <w:szCs w:val="36"/>
          <w:lang w:eastAsia="hr-HR"/>
        </w:rPr>
        <w:t>NAREDBU</w:t>
      </w:r>
    </w:p>
    <w:p w:rsidR="002E621E" w:rsidRPr="002E621E" w:rsidRDefault="002E621E" w:rsidP="002E621E">
      <w:pPr>
        <w:spacing w:after="225" w:line="240" w:lineRule="auto"/>
        <w:jc w:val="center"/>
        <w:textAlignment w:val="baseline"/>
        <w:rPr>
          <w:rFonts w:ascii="Minion Pro" w:eastAsia="Times New Roman" w:hAnsi="Minion Pro" w:cs="Times New Roman"/>
          <w:b/>
          <w:bCs/>
          <w:color w:val="000000"/>
          <w:sz w:val="28"/>
          <w:szCs w:val="28"/>
          <w:lang w:eastAsia="hr-HR"/>
        </w:rPr>
      </w:pPr>
      <w:r w:rsidRPr="002E621E">
        <w:rPr>
          <w:rFonts w:ascii="Minion Pro" w:eastAsia="Times New Roman" w:hAnsi="Minion Pro" w:cs="Times New Roman"/>
          <w:b/>
          <w:bCs/>
          <w:color w:val="000000"/>
          <w:sz w:val="28"/>
          <w:szCs w:val="28"/>
          <w:lang w:eastAsia="hr-HR"/>
        </w:rPr>
        <w:t>O IZNOSIMA OSNOVICA ZA OBRAČUN DOPRINOSA ZA OBVEZNA OSIGURANJA ZA 2014. GODINU</w:t>
      </w:r>
    </w:p>
    <w:p w:rsidR="002E621E" w:rsidRPr="002E621E" w:rsidRDefault="002E621E" w:rsidP="002E621E">
      <w:pPr>
        <w:spacing w:after="225" w:line="240" w:lineRule="auto"/>
        <w:jc w:val="center"/>
        <w:textAlignment w:val="baseline"/>
        <w:rPr>
          <w:rFonts w:ascii="Minion Pro" w:eastAsia="Times New Roman" w:hAnsi="Minion Pro" w:cs="Times New Roman"/>
          <w:color w:val="000000"/>
          <w:sz w:val="28"/>
          <w:szCs w:val="28"/>
          <w:lang w:eastAsia="hr-HR"/>
        </w:rPr>
      </w:pPr>
      <w:r w:rsidRPr="002E621E">
        <w:rPr>
          <w:rFonts w:ascii="Minion Pro" w:eastAsia="Times New Roman" w:hAnsi="Minion Pro" w:cs="Times New Roman"/>
          <w:color w:val="000000"/>
          <w:sz w:val="28"/>
          <w:szCs w:val="28"/>
          <w:lang w:eastAsia="hr-HR"/>
        </w:rPr>
        <w:t>I. OPĆE ODREDBE</w:t>
      </w:r>
    </w:p>
    <w:p w:rsidR="002E621E" w:rsidRPr="002E621E" w:rsidRDefault="002E621E" w:rsidP="002E621E">
      <w:pPr>
        <w:spacing w:after="225" w:line="240" w:lineRule="auto"/>
        <w:jc w:val="center"/>
        <w:textAlignment w:val="baseline"/>
        <w:rPr>
          <w:rFonts w:ascii="Minion Pro" w:eastAsia="Times New Roman" w:hAnsi="Minion Pro" w:cs="Times New Roman"/>
          <w:color w:val="000000"/>
          <w:sz w:val="24"/>
          <w:szCs w:val="24"/>
          <w:lang w:eastAsia="hr-HR"/>
        </w:rPr>
      </w:pPr>
      <w:r w:rsidRPr="002E621E">
        <w:rPr>
          <w:rFonts w:ascii="Minion Pro" w:eastAsia="Times New Roman" w:hAnsi="Minion Pro" w:cs="Times New Roman"/>
          <w:color w:val="000000"/>
          <w:sz w:val="24"/>
          <w:szCs w:val="24"/>
          <w:lang w:eastAsia="hr-HR"/>
        </w:rPr>
        <w:t>Članak 1.</w:t>
      </w:r>
    </w:p>
    <w:p w:rsidR="002E621E" w:rsidRPr="002E621E" w:rsidRDefault="002E621E" w:rsidP="002E621E">
      <w:pPr>
        <w:spacing w:after="225" w:line="240" w:lineRule="auto"/>
        <w:jc w:val="both"/>
        <w:textAlignment w:val="baseline"/>
        <w:rPr>
          <w:rFonts w:ascii="Minion Pro" w:eastAsia="Times New Roman" w:hAnsi="Minion Pro" w:cs="Times New Roman"/>
          <w:color w:val="000000"/>
          <w:sz w:val="24"/>
          <w:szCs w:val="24"/>
          <w:lang w:eastAsia="hr-HR"/>
        </w:rPr>
      </w:pPr>
      <w:r w:rsidRPr="002E621E">
        <w:rPr>
          <w:rFonts w:ascii="Minion Pro" w:eastAsia="Times New Roman" w:hAnsi="Minion Pro" w:cs="Times New Roman"/>
          <w:color w:val="000000"/>
          <w:sz w:val="24"/>
          <w:szCs w:val="24"/>
          <w:lang w:eastAsia="hr-HR"/>
        </w:rPr>
        <w:t>(1) Ovom se Naredbom objavljuju iznosi osnovica za obračun doprinosa za 2014. godinu izračunanih kao umnožak iznosa prosječne plaće i koeficijenata za njihov obračun propisanih Zakonom o doprinosima (u nastavku teksta: Zakon) i to:</w:t>
      </w:r>
    </w:p>
    <w:p w:rsidR="002E621E" w:rsidRPr="002E621E" w:rsidRDefault="002E621E" w:rsidP="002E621E">
      <w:pPr>
        <w:spacing w:after="225" w:line="240" w:lineRule="auto"/>
        <w:jc w:val="both"/>
        <w:textAlignment w:val="baseline"/>
        <w:rPr>
          <w:rFonts w:ascii="Minion Pro" w:eastAsia="Times New Roman" w:hAnsi="Minion Pro" w:cs="Times New Roman"/>
          <w:color w:val="000000"/>
          <w:sz w:val="24"/>
          <w:szCs w:val="24"/>
          <w:lang w:eastAsia="hr-HR"/>
        </w:rPr>
      </w:pPr>
      <w:r w:rsidRPr="002E621E">
        <w:rPr>
          <w:rFonts w:ascii="Minion Pro" w:eastAsia="Times New Roman" w:hAnsi="Minion Pro" w:cs="Times New Roman"/>
          <w:color w:val="000000"/>
          <w:sz w:val="24"/>
          <w:szCs w:val="24"/>
          <w:lang w:eastAsia="hr-HR"/>
        </w:rPr>
        <w:t>1. najniže mjesečne osnovice,</w:t>
      </w:r>
    </w:p>
    <w:p w:rsidR="002E621E" w:rsidRPr="002E621E" w:rsidRDefault="002E621E" w:rsidP="002E621E">
      <w:pPr>
        <w:spacing w:after="225" w:line="240" w:lineRule="auto"/>
        <w:jc w:val="both"/>
        <w:textAlignment w:val="baseline"/>
        <w:rPr>
          <w:rFonts w:ascii="Minion Pro" w:eastAsia="Times New Roman" w:hAnsi="Minion Pro" w:cs="Times New Roman"/>
          <w:color w:val="000000"/>
          <w:sz w:val="24"/>
          <w:szCs w:val="24"/>
          <w:lang w:eastAsia="hr-HR"/>
        </w:rPr>
      </w:pPr>
      <w:r w:rsidRPr="002E621E">
        <w:rPr>
          <w:rFonts w:ascii="Minion Pro" w:eastAsia="Times New Roman" w:hAnsi="Minion Pro" w:cs="Times New Roman"/>
          <w:color w:val="000000"/>
          <w:sz w:val="24"/>
          <w:szCs w:val="24"/>
          <w:lang w:eastAsia="hr-HR"/>
        </w:rPr>
        <w:t>2. najviše mjesečne osnovice,</w:t>
      </w:r>
    </w:p>
    <w:p w:rsidR="002E621E" w:rsidRPr="002E621E" w:rsidRDefault="002E621E" w:rsidP="002E621E">
      <w:pPr>
        <w:spacing w:after="225" w:line="240" w:lineRule="auto"/>
        <w:jc w:val="both"/>
        <w:textAlignment w:val="baseline"/>
        <w:rPr>
          <w:rFonts w:ascii="Minion Pro" w:eastAsia="Times New Roman" w:hAnsi="Minion Pro" w:cs="Times New Roman"/>
          <w:color w:val="000000"/>
          <w:sz w:val="24"/>
          <w:szCs w:val="24"/>
          <w:lang w:eastAsia="hr-HR"/>
        </w:rPr>
      </w:pPr>
      <w:r w:rsidRPr="002E621E">
        <w:rPr>
          <w:rFonts w:ascii="Minion Pro" w:eastAsia="Times New Roman" w:hAnsi="Minion Pro" w:cs="Times New Roman"/>
          <w:color w:val="000000"/>
          <w:sz w:val="24"/>
          <w:szCs w:val="24"/>
          <w:lang w:eastAsia="hr-HR"/>
        </w:rPr>
        <w:t>3. najviše godišnje osnovice,</w:t>
      </w:r>
    </w:p>
    <w:p w:rsidR="002E621E" w:rsidRPr="002E621E" w:rsidRDefault="002E621E" w:rsidP="002E621E">
      <w:pPr>
        <w:spacing w:after="225" w:line="240" w:lineRule="auto"/>
        <w:jc w:val="both"/>
        <w:textAlignment w:val="baseline"/>
        <w:rPr>
          <w:rFonts w:ascii="Minion Pro" w:eastAsia="Times New Roman" w:hAnsi="Minion Pro" w:cs="Times New Roman"/>
          <w:color w:val="000000"/>
          <w:sz w:val="24"/>
          <w:szCs w:val="24"/>
          <w:lang w:eastAsia="hr-HR"/>
        </w:rPr>
      </w:pPr>
      <w:r w:rsidRPr="002E621E">
        <w:rPr>
          <w:rFonts w:ascii="Minion Pro" w:eastAsia="Times New Roman" w:hAnsi="Minion Pro" w:cs="Times New Roman"/>
          <w:color w:val="000000"/>
          <w:sz w:val="24"/>
          <w:szCs w:val="24"/>
          <w:lang w:eastAsia="hr-HR"/>
        </w:rPr>
        <w:t>4. mjesečnih osnovica za obveze koje utvrđuje Porezna uprava rješenjem,</w:t>
      </w:r>
    </w:p>
    <w:p w:rsidR="002E621E" w:rsidRPr="002E621E" w:rsidRDefault="002E621E" w:rsidP="002E621E">
      <w:pPr>
        <w:spacing w:after="225" w:line="240" w:lineRule="auto"/>
        <w:jc w:val="both"/>
        <w:textAlignment w:val="baseline"/>
        <w:rPr>
          <w:rFonts w:ascii="Minion Pro" w:eastAsia="Times New Roman" w:hAnsi="Minion Pro" w:cs="Times New Roman"/>
          <w:color w:val="000000"/>
          <w:sz w:val="24"/>
          <w:szCs w:val="24"/>
          <w:lang w:eastAsia="hr-HR"/>
        </w:rPr>
      </w:pPr>
      <w:r w:rsidRPr="002E621E">
        <w:rPr>
          <w:rFonts w:ascii="Minion Pro" w:eastAsia="Times New Roman" w:hAnsi="Minion Pro" w:cs="Times New Roman"/>
          <w:color w:val="000000"/>
          <w:sz w:val="24"/>
          <w:szCs w:val="24"/>
          <w:lang w:eastAsia="hr-HR"/>
        </w:rPr>
        <w:t>5. mjesečnih osnovica za obveze koje utvrđuju obveznici obračunavanja,</w:t>
      </w:r>
    </w:p>
    <w:p w:rsidR="002E621E" w:rsidRPr="002E621E" w:rsidRDefault="002E621E" w:rsidP="002E621E">
      <w:pPr>
        <w:spacing w:after="225" w:line="240" w:lineRule="auto"/>
        <w:jc w:val="both"/>
        <w:textAlignment w:val="baseline"/>
        <w:rPr>
          <w:rFonts w:ascii="Minion Pro" w:eastAsia="Times New Roman" w:hAnsi="Minion Pro" w:cs="Times New Roman"/>
          <w:color w:val="000000"/>
          <w:sz w:val="24"/>
          <w:szCs w:val="24"/>
          <w:lang w:eastAsia="hr-HR"/>
        </w:rPr>
      </w:pPr>
      <w:r w:rsidRPr="002E621E">
        <w:rPr>
          <w:rFonts w:ascii="Minion Pro" w:eastAsia="Times New Roman" w:hAnsi="Minion Pro" w:cs="Times New Roman"/>
          <w:color w:val="000000"/>
          <w:sz w:val="24"/>
          <w:szCs w:val="24"/>
          <w:lang w:eastAsia="hr-HR"/>
        </w:rPr>
        <w:t>6. izabranih viših mjesečnih osnovica i</w:t>
      </w:r>
    </w:p>
    <w:p w:rsidR="002E621E" w:rsidRPr="002E621E" w:rsidRDefault="002E621E" w:rsidP="002E621E">
      <w:pPr>
        <w:spacing w:after="225" w:line="240" w:lineRule="auto"/>
        <w:jc w:val="both"/>
        <w:textAlignment w:val="baseline"/>
        <w:rPr>
          <w:rFonts w:ascii="Minion Pro" w:eastAsia="Times New Roman" w:hAnsi="Minion Pro" w:cs="Times New Roman"/>
          <w:color w:val="000000"/>
          <w:sz w:val="24"/>
          <w:szCs w:val="24"/>
          <w:lang w:eastAsia="hr-HR"/>
        </w:rPr>
      </w:pPr>
      <w:r w:rsidRPr="002E621E">
        <w:rPr>
          <w:rFonts w:ascii="Minion Pro" w:eastAsia="Times New Roman" w:hAnsi="Minion Pro" w:cs="Times New Roman"/>
          <w:color w:val="000000"/>
          <w:sz w:val="24"/>
          <w:szCs w:val="24"/>
          <w:lang w:eastAsia="hr-HR"/>
        </w:rPr>
        <w:t>7. godišnjih osnovica za obveze po osnovi obavljanja druge djelatnosti.</w:t>
      </w:r>
    </w:p>
    <w:p w:rsidR="002E621E" w:rsidRPr="002E621E" w:rsidRDefault="002E621E" w:rsidP="002E621E">
      <w:pPr>
        <w:spacing w:after="225" w:line="240" w:lineRule="auto"/>
        <w:jc w:val="both"/>
        <w:textAlignment w:val="baseline"/>
        <w:rPr>
          <w:rFonts w:ascii="Minion Pro" w:eastAsia="Times New Roman" w:hAnsi="Minion Pro" w:cs="Times New Roman"/>
          <w:color w:val="000000"/>
          <w:sz w:val="24"/>
          <w:szCs w:val="24"/>
          <w:lang w:eastAsia="hr-HR"/>
        </w:rPr>
      </w:pPr>
      <w:r w:rsidRPr="002E621E">
        <w:rPr>
          <w:rFonts w:ascii="Minion Pro" w:eastAsia="Times New Roman" w:hAnsi="Minion Pro" w:cs="Times New Roman"/>
          <w:color w:val="000000"/>
          <w:sz w:val="24"/>
          <w:szCs w:val="24"/>
          <w:lang w:eastAsia="hr-HR"/>
        </w:rPr>
        <w:t>(2) Ovom se Naredbom objavljuju i iznosi posebnih osnovica za obračun doprinosa za 2014. godinu prema iznosu prosječne neto plaće propisanih Zakonom, i to:</w:t>
      </w:r>
    </w:p>
    <w:p w:rsidR="002E621E" w:rsidRPr="002E621E" w:rsidRDefault="002E621E" w:rsidP="002E621E">
      <w:pPr>
        <w:spacing w:after="225" w:line="240" w:lineRule="auto"/>
        <w:jc w:val="both"/>
        <w:textAlignment w:val="baseline"/>
        <w:rPr>
          <w:rFonts w:ascii="Minion Pro" w:eastAsia="Times New Roman" w:hAnsi="Minion Pro" w:cs="Times New Roman"/>
          <w:color w:val="000000"/>
          <w:sz w:val="24"/>
          <w:szCs w:val="24"/>
          <w:lang w:eastAsia="hr-HR"/>
        </w:rPr>
      </w:pPr>
      <w:r w:rsidRPr="002E621E">
        <w:rPr>
          <w:rFonts w:ascii="Minion Pro" w:eastAsia="Times New Roman" w:hAnsi="Minion Pro" w:cs="Times New Roman"/>
          <w:color w:val="000000"/>
          <w:sz w:val="24"/>
          <w:szCs w:val="24"/>
          <w:lang w:eastAsia="hr-HR"/>
        </w:rPr>
        <w:t>1. do iznosa prosječne neto plaće i</w:t>
      </w:r>
    </w:p>
    <w:p w:rsidR="002E621E" w:rsidRPr="002E621E" w:rsidRDefault="002E621E" w:rsidP="002E621E">
      <w:pPr>
        <w:spacing w:after="225" w:line="240" w:lineRule="auto"/>
        <w:jc w:val="both"/>
        <w:textAlignment w:val="baseline"/>
        <w:rPr>
          <w:rFonts w:ascii="Minion Pro" w:eastAsia="Times New Roman" w:hAnsi="Minion Pro" w:cs="Times New Roman"/>
          <w:color w:val="000000"/>
          <w:sz w:val="24"/>
          <w:szCs w:val="24"/>
          <w:lang w:eastAsia="hr-HR"/>
        </w:rPr>
      </w:pPr>
      <w:r w:rsidRPr="002E621E">
        <w:rPr>
          <w:rFonts w:ascii="Minion Pro" w:eastAsia="Times New Roman" w:hAnsi="Minion Pro" w:cs="Times New Roman"/>
          <w:color w:val="000000"/>
          <w:sz w:val="24"/>
          <w:szCs w:val="24"/>
          <w:lang w:eastAsia="hr-HR"/>
        </w:rPr>
        <w:t>2. iznad iznosa prosječne neto plaće.</w:t>
      </w:r>
    </w:p>
    <w:p w:rsidR="002E621E" w:rsidRPr="002E621E" w:rsidRDefault="002E621E" w:rsidP="002E621E">
      <w:pPr>
        <w:spacing w:after="225" w:line="240" w:lineRule="auto"/>
        <w:jc w:val="both"/>
        <w:textAlignment w:val="baseline"/>
        <w:rPr>
          <w:rFonts w:ascii="Minion Pro" w:eastAsia="Times New Roman" w:hAnsi="Minion Pro" w:cs="Times New Roman"/>
          <w:color w:val="000000"/>
          <w:sz w:val="24"/>
          <w:szCs w:val="24"/>
          <w:lang w:eastAsia="hr-HR"/>
        </w:rPr>
      </w:pPr>
      <w:r w:rsidRPr="002E621E">
        <w:rPr>
          <w:rFonts w:ascii="Minion Pro" w:eastAsia="Times New Roman" w:hAnsi="Minion Pro" w:cs="Times New Roman"/>
          <w:color w:val="000000"/>
          <w:sz w:val="24"/>
          <w:szCs w:val="24"/>
          <w:lang w:eastAsia="hr-HR"/>
        </w:rPr>
        <w:t>(3) Ovom se Naredbom objavljuju i iznosi dnevne osnovice za obračun doprinosa sezonskim radnicima u poljoprivredi.</w:t>
      </w:r>
    </w:p>
    <w:p w:rsidR="002E621E" w:rsidRPr="002E621E" w:rsidRDefault="002E621E" w:rsidP="002E621E">
      <w:pPr>
        <w:spacing w:after="225" w:line="240" w:lineRule="auto"/>
        <w:jc w:val="center"/>
        <w:textAlignment w:val="baseline"/>
        <w:rPr>
          <w:rFonts w:ascii="Minion Pro" w:eastAsia="Times New Roman" w:hAnsi="Minion Pro" w:cs="Times New Roman"/>
          <w:color w:val="000000"/>
          <w:sz w:val="24"/>
          <w:szCs w:val="24"/>
          <w:lang w:eastAsia="hr-HR"/>
        </w:rPr>
      </w:pPr>
      <w:r w:rsidRPr="002E621E">
        <w:rPr>
          <w:rFonts w:ascii="Minion Pro" w:eastAsia="Times New Roman" w:hAnsi="Minion Pro" w:cs="Times New Roman"/>
          <w:color w:val="000000"/>
          <w:sz w:val="24"/>
          <w:szCs w:val="24"/>
          <w:lang w:eastAsia="hr-HR"/>
        </w:rPr>
        <w:t>Članak 2.</w:t>
      </w:r>
    </w:p>
    <w:p w:rsidR="002E621E" w:rsidRPr="002E621E" w:rsidRDefault="002E621E" w:rsidP="002E621E">
      <w:pPr>
        <w:spacing w:after="225" w:line="240" w:lineRule="auto"/>
        <w:jc w:val="both"/>
        <w:textAlignment w:val="baseline"/>
        <w:rPr>
          <w:rFonts w:ascii="Minion Pro" w:eastAsia="Times New Roman" w:hAnsi="Minion Pro" w:cs="Times New Roman"/>
          <w:color w:val="000000"/>
          <w:sz w:val="24"/>
          <w:szCs w:val="24"/>
          <w:lang w:eastAsia="hr-HR"/>
        </w:rPr>
      </w:pPr>
      <w:r w:rsidRPr="002E621E">
        <w:rPr>
          <w:rFonts w:ascii="Minion Pro" w:eastAsia="Times New Roman" w:hAnsi="Minion Pro" w:cs="Times New Roman"/>
          <w:color w:val="000000"/>
          <w:sz w:val="24"/>
          <w:szCs w:val="24"/>
          <w:lang w:eastAsia="hr-HR"/>
        </w:rPr>
        <w:t>(1) Prosječna plaća, u skladu s odredbom članka 7. točka 39. Zakona i prema Objavi Državnog zavoda za statistiku o prosječnoj mjesečnoj bruto plaći po zaposlenome u pravnim osobama Republike Hrvatske za razdoblje siječanj – kolovoz 2013. (»Narodne novine«, broj 138/13) iznosi 7.941,00 kuna.</w:t>
      </w:r>
    </w:p>
    <w:p w:rsidR="002E621E" w:rsidRPr="002E621E" w:rsidRDefault="002E621E" w:rsidP="002E621E">
      <w:pPr>
        <w:spacing w:after="225" w:line="240" w:lineRule="auto"/>
        <w:jc w:val="both"/>
        <w:textAlignment w:val="baseline"/>
        <w:rPr>
          <w:rFonts w:ascii="Minion Pro" w:eastAsia="Times New Roman" w:hAnsi="Minion Pro" w:cs="Times New Roman"/>
          <w:color w:val="000000"/>
          <w:sz w:val="24"/>
          <w:szCs w:val="24"/>
          <w:lang w:eastAsia="hr-HR"/>
        </w:rPr>
      </w:pPr>
      <w:r w:rsidRPr="002E621E">
        <w:rPr>
          <w:rFonts w:ascii="Minion Pro" w:eastAsia="Times New Roman" w:hAnsi="Minion Pro" w:cs="Times New Roman"/>
          <w:color w:val="000000"/>
          <w:sz w:val="24"/>
          <w:szCs w:val="24"/>
          <w:lang w:eastAsia="hr-HR"/>
        </w:rPr>
        <w:lastRenderedPageBreak/>
        <w:t>(2) Prosječna neto plaća, u skladu s odredbom članka 7. točka 40. Zakona i prema Objavi Državnog zavoda za statistiku o prosječnoj mjesečnoj neto plaći po zaposlenome u pravnim osobama Republike Hrvatske za razdoblje siječanj – kolovoz 2013. (»Narodne novine«, broj 138/13) iznosi 5.507,00 kuna.</w:t>
      </w:r>
    </w:p>
    <w:p w:rsidR="002E621E" w:rsidRPr="002E621E" w:rsidRDefault="002E621E" w:rsidP="002E621E">
      <w:pPr>
        <w:spacing w:after="225" w:line="240" w:lineRule="auto"/>
        <w:jc w:val="center"/>
        <w:textAlignment w:val="baseline"/>
        <w:rPr>
          <w:rFonts w:ascii="Minion Pro" w:eastAsia="Times New Roman" w:hAnsi="Minion Pro" w:cs="Times New Roman"/>
          <w:color w:val="000000"/>
          <w:sz w:val="28"/>
          <w:szCs w:val="28"/>
          <w:lang w:eastAsia="hr-HR"/>
        </w:rPr>
      </w:pPr>
      <w:r w:rsidRPr="002E621E">
        <w:rPr>
          <w:rFonts w:ascii="Minion Pro" w:eastAsia="Times New Roman" w:hAnsi="Minion Pro" w:cs="Times New Roman"/>
          <w:color w:val="000000"/>
          <w:sz w:val="28"/>
          <w:szCs w:val="28"/>
          <w:lang w:eastAsia="hr-HR"/>
        </w:rPr>
        <w:t>II. IZNOSI OSNOVICA</w:t>
      </w:r>
    </w:p>
    <w:p w:rsidR="002E621E" w:rsidRPr="002E621E" w:rsidRDefault="002E621E" w:rsidP="002E621E">
      <w:pPr>
        <w:spacing w:after="0" w:line="240" w:lineRule="auto"/>
        <w:jc w:val="center"/>
        <w:textAlignment w:val="baseline"/>
        <w:rPr>
          <w:rFonts w:ascii="Minion Pro" w:eastAsia="Times New Roman" w:hAnsi="Minion Pro" w:cs="Times New Roman"/>
          <w:i/>
          <w:iCs/>
          <w:color w:val="000000"/>
          <w:sz w:val="26"/>
          <w:szCs w:val="26"/>
          <w:lang w:eastAsia="hr-HR"/>
        </w:rPr>
      </w:pPr>
      <w:r w:rsidRPr="002E621E">
        <w:rPr>
          <w:rFonts w:ascii="Minion Pro" w:eastAsia="Times New Roman" w:hAnsi="Minion Pro" w:cs="Times New Roman"/>
          <w:i/>
          <w:iCs/>
          <w:color w:val="000000"/>
          <w:sz w:val="26"/>
          <w:szCs w:val="26"/>
          <w:bdr w:val="none" w:sz="0" w:space="0" w:color="auto" w:frame="1"/>
          <w:lang w:eastAsia="hr-HR"/>
        </w:rPr>
        <w:t>1. Opće osnovice</w:t>
      </w:r>
    </w:p>
    <w:p w:rsidR="002E621E" w:rsidRPr="002E621E" w:rsidRDefault="002E621E" w:rsidP="002E621E">
      <w:pPr>
        <w:spacing w:after="225" w:line="240" w:lineRule="auto"/>
        <w:jc w:val="center"/>
        <w:textAlignment w:val="baseline"/>
        <w:rPr>
          <w:rFonts w:ascii="Minion Pro" w:eastAsia="Times New Roman" w:hAnsi="Minion Pro" w:cs="Times New Roman"/>
          <w:color w:val="000000"/>
          <w:sz w:val="24"/>
          <w:szCs w:val="24"/>
          <w:lang w:eastAsia="hr-HR"/>
        </w:rPr>
      </w:pPr>
      <w:r w:rsidRPr="002E621E">
        <w:rPr>
          <w:rFonts w:ascii="Minion Pro" w:eastAsia="Times New Roman" w:hAnsi="Minion Pro" w:cs="Times New Roman"/>
          <w:color w:val="000000"/>
          <w:sz w:val="24"/>
          <w:szCs w:val="24"/>
          <w:lang w:eastAsia="hr-HR"/>
        </w:rPr>
        <w:t>Članak 3.</w:t>
      </w:r>
    </w:p>
    <w:p w:rsidR="002E621E" w:rsidRPr="002E621E" w:rsidRDefault="002E621E" w:rsidP="002E621E">
      <w:pPr>
        <w:spacing w:after="225" w:line="240" w:lineRule="auto"/>
        <w:jc w:val="both"/>
        <w:textAlignment w:val="baseline"/>
        <w:rPr>
          <w:rFonts w:ascii="Minion Pro" w:eastAsia="Times New Roman" w:hAnsi="Minion Pro" w:cs="Times New Roman"/>
          <w:color w:val="000000"/>
          <w:sz w:val="24"/>
          <w:szCs w:val="24"/>
          <w:lang w:eastAsia="hr-HR"/>
        </w:rPr>
      </w:pPr>
      <w:r w:rsidRPr="002E621E">
        <w:rPr>
          <w:rFonts w:ascii="Minion Pro" w:eastAsia="Times New Roman" w:hAnsi="Minion Pro" w:cs="Times New Roman"/>
          <w:color w:val="000000"/>
          <w:sz w:val="24"/>
          <w:szCs w:val="24"/>
          <w:lang w:eastAsia="hr-HR"/>
        </w:rPr>
        <w:t>Najniža mjesečna osnovica, prema članku 200. stavak 3. Zakona, umnožak je iznosa prosječne plaće i koeficijenta 0,35 te iznosi 2.779,35 kuna.</w:t>
      </w:r>
    </w:p>
    <w:p w:rsidR="002E621E" w:rsidRPr="002E621E" w:rsidRDefault="002E621E" w:rsidP="002E621E">
      <w:pPr>
        <w:spacing w:after="225" w:line="240" w:lineRule="auto"/>
        <w:jc w:val="center"/>
        <w:textAlignment w:val="baseline"/>
        <w:rPr>
          <w:rFonts w:ascii="Minion Pro" w:eastAsia="Times New Roman" w:hAnsi="Minion Pro" w:cs="Times New Roman"/>
          <w:color w:val="000000"/>
          <w:sz w:val="24"/>
          <w:szCs w:val="24"/>
          <w:lang w:eastAsia="hr-HR"/>
        </w:rPr>
      </w:pPr>
      <w:r w:rsidRPr="002E621E">
        <w:rPr>
          <w:rFonts w:ascii="Minion Pro" w:eastAsia="Times New Roman" w:hAnsi="Minion Pro" w:cs="Times New Roman"/>
          <w:color w:val="000000"/>
          <w:sz w:val="24"/>
          <w:szCs w:val="24"/>
          <w:lang w:eastAsia="hr-HR"/>
        </w:rPr>
        <w:t>Članak 4.</w:t>
      </w:r>
    </w:p>
    <w:p w:rsidR="002E621E" w:rsidRPr="002E621E" w:rsidRDefault="002E621E" w:rsidP="002E621E">
      <w:pPr>
        <w:spacing w:after="225" w:line="240" w:lineRule="auto"/>
        <w:jc w:val="both"/>
        <w:textAlignment w:val="baseline"/>
        <w:rPr>
          <w:rFonts w:ascii="Minion Pro" w:eastAsia="Times New Roman" w:hAnsi="Minion Pro" w:cs="Times New Roman"/>
          <w:color w:val="000000"/>
          <w:sz w:val="24"/>
          <w:szCs w:val="24"/>
          <w:lang w:eastAsia="hr-HR"/>
        </w:rPr>
      </w:pPr>
      <w:r w:rsidRPr="002E621E">
        <w:rPr>
          <w:rFonts w:ascii="Minion Pro" w:eastAsia="Times New Roman" w:hAnsi="Minion Pro" w:cs="Times New Roman"/>
          <w:color w:val="000000"/>
          <w:sz w:val="24"/>
          <w:szCs w:val="24"/>
          <w:lang w:eastAsia="hr-HR"/>
        </w:rPr>
        <w:t>Najviša mjesečna osnovica, prema članku 205. Zakona, umnožak je iznosa prosječne plaće i koeficijenta 6,00 te iznosi 47.646,00 kuna.</w:t>
      </w:r>
    </w:p>
    <w:p w:rsidR="002E621E" w:rsidRPr="002E621E" w:rsidRDefault="002E621E" w:rsidP="002E621E">
      <w:pPr>
        <w:spacing w:after="225" w:line="240" w:lineRule="auto"/>
        <w:jc w:val="center"/>
        <w:textAlignment w:val="baseline"/>
        <w:rPr>
          <w:rFonts w:ascii="Minion Pro" w:eastAsia="Times New Roman" w:hAnsi="Minion Pro" w:cs="Times New Roman"/>
          <w:color w:val="000000"/>
          <w:sz w:val="24"/>
          <w:szCs w:val="24"/>
          <w:lang w:eastAsia="hr-HR"/>
        </w:rPr>
      </w:pPr>
      <w:r w:rsidRPr="002E621E">
        <w:rPr>
          <w:rFonts w:ascii="Minion Pro" w:eastAsia="Times New Roman" w:hAnsi="Minion Pro" w:cs="Times New Roman"/>
          <w:color w:val="000000"/>
          <w:sz w:val="24"/>
          <w:szCs w:val="24"/>
          <w:lang w:eastAsia="hr-HR"/>
        </w:rPr>
        <w:t>Članak 5.</w:t>
      </w:r>
    </w:p>
    <w:p w:rsidR="002E621E" w:rsidRPr="002E621E" w:rsidRDefault="002E621E" w:rsidP="002E621E">
      <w:pPr>
        <w:spacing w:after="225" w:line="240" w:lineRule="auto"/>
        <w:jc w:val="both"/>
        <w:textAlignment w:val="baseline"/>
        <w:rPr>
          <w:rFonts w:ascii="Minion Pro" w:eastAsia="Times New Roman" w:hAnsi="Minion Pro" w:cs="Times New Roman"/>
          <w:color w:val="000000"/>
          <w:sz w:val="24"/>
          <w:szCs w:val="24"/>
          <w:lang w:eastAsia="hr-HR"/>
        </w:rPr>
      </w:pPr>
      <w:r w:rsidRPr="002E621E">
        <w:rPr>
          <w:rFonts w:ascii="Minion Pro" w:eastAsia="Times New Roman" w:hAnsi="Minion Pro" w:cs="Times New Roman"/>
          <w:color w:val="000000"/>
          <w:sz w:val="24"/>
          <w:szCs w:val="24"/>
          <w:lang w:eastAsia="hr-HR"/>
        </w:rPr>
        <w:t>Najviša godišnja osnovica, prema članku 208. Zakona, umnožak je iznosa prosječne plaće i koeficijenta 6,00 te brojke 12 i iznosi 571.752,00 kuna.</w:t>
      </w:r>
    </w:p>
    <w:p w:rsidR="002E621E" w:rsidRPr="002E621E" w:rsidRDefault="002E621E" w:rsidP="002E621E">
      <w:pPr>
        <w:spacing w:after="0" w:line="240" w:lineRule="auto"/>
        <w:jc w:val="center"/>
        <w:textAlignment w:val="baseline"/>
        <w:rPr>
          <w:rFonts w:ascii="Minion Pro" w:eastAsia="Times New Roman" w:hAnsi="Minion Pro" w:cs="Times New Roman"/>
          <w:i/>
          <w:iCs/>
          <w:color w:val="000000"/>
          <w:sz w:val="26"/>
          <w:szCs w:val="26"/>
          <w:lang w:eastAsia="hr-HR"/>
        </w:rPr>
      </w:pPr>
      <w:r w:rsidRPr="002E621E">
        <w:rPr>
          <w:rFonts w:ascii="Minion Pro" w:eastAsia="Times New Roman" w:hAnsi="Minion Pro" w:cs="Times New Roman"/>
          <w:i/>
          <w:iCs/>
          <w:color w:val="000000"/>
          <w:sz w:val="26"/>
          <w:szCs w:val="26"/>
          <w:bdr w:val="none" w:sz="0" w:space="0" w:color="auto" w:frame="1"/>
          <w:lang w:eastAsia="hr-HR"/>
        </w:rPr>
        <w:t>2. Mjesečne osnovice za obveze koje utvrđuje Porezna uprava, rješenjem</w:t>
      </w:r>
    </w:p>
    <w:p w:rsidR="002E621E" w:rsidRPr="002E621E" w:rsidRDefault="002E621E" w:rsidP="002E621E">
      <w:pPr>
        <w:spacing w:after="225" w:line="240" w:lineRule="auto"/>
        <w:jc w:val="center"/>
        <w:textAlignment w:val="baseline"/>
        <w:rPr>
          <w:rFonts w:ascii="Minion Pro" w:eastAsia="Times New Roman" w:hAnsi="Minion Pro" w:cs="Times New Roman"/>
          <w:color w:val="000000"/>
          <w:sz w:val="24"/>
          <w:szCs w:val="24"/>
          <w:lang w:eastAsia="hr-HR"/>
        </w:rPr>
      </w:pPr>
      <w:r w:rsidRPr="002E621E">
        <w:rPr>
          <w:rFonts w:ascii="Minion Pro" w:eastAsia="Times New Roman" w:hAnsi="Minion Pro" w:cs="Times New Roman"/>
          <w:color w:val="000000"/>
          <w:sz w:val="24"/>
          <w:szCs w:val="24"/>
          <w:lang w:eastAsia="hr-HR"/>
        </w:rPr>
        <w:t>Članak 6.</w:t>
      </w:r>
    </w:p>
    <w:p w:rsidR="002E621E" w:rsidRPr="002E621E" w:rsidRDefault="002E621E" w:rsidP="002E621E">
      <w:pPr>
        <w:spacing w:line="240" w:lineRule="auto"/>
        <w:jc w:val="both"/>
        <w:textAlignment w:val="baseline"/>
        <w:rPr>
          <w:rFonts w:ascii="Minion Pro" w:eastAsia="Times New Roman" w:hAnsi="Minion Pro" w:cs="Times New Roman"/>
          <w:color w:val="000000"/>
          <w:sz w:val="24"/>
          <w:szCs w:val="24"/>
          <w:lang w:eastAsia="hr-HR"/>
        </w:rPr>
      </w:pPr>
      <w:r w:rsidRPr="002E621E">
        <w:rPr>
          <w:rFonts w:ascii="Minion Pro" w:eastAsia="Times New Roman" w:hAnsi="Minion Pro" w:cs="Times New Roman"/>
          <w:color w:val="000000"/>
          <w:sz w:val="24"/>
          <w:szCs w:val="24"/>
          <w:lang w:eastAsia="hr-HR"/>
        </w:rPr>
        <w:t>Iznosi mjesečnih osnovica za obveze koje utvrđuje Porezna uprava, rješenjem, umnožak su iznosa prosječne plaće i Zakonom propisanih koeficijenata – prema osnovama obveznih osiguranja, i to:</w:t>
      </w:r>
    </w:p>
    <w:tbl>
      <w:tblPr>
        <w:tblW w:w="0" w:type="auto"/>
        <w:tblCellSpacing w:w="15" w:type="dxa"/>
        <w:tblCellMar>
          <w:left w:w="0" w:type="dxa"/>
          <w:right w:w="0" w:type="dxa"/>
        </w:tblCellMar>
        <w:tblLook w:val="04A0" w:firstRow="1" w:lastRow="0" w:firstColumn="1" w:lastColumn="0" w:noHBand="0" w:noVBand="1"/>
      </w:tblPr>
      <w:tblGrid>
        <w:gridCol w:w="549"/>
        <w:gridCol w:w="460"/>
        <w:gridCol w:w="4887"/>
        <w:gridCol w:w="1028"/>
        <w:gridCol w:w="934"/>
        <w:gridCol w:w="1198"/>
      </w:tblGrid>
      <w:tr w:rsidR="002E621E" w:rsidRPr="002E621E" w:rsidTr="002E621E">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Red. bro</w:t>
            </w:r>
            <w:bookmarkStart w:id="0" w:name="anchor-22-anchor"/>
            <w:bookmarkStart w:id="1" w:name="anchor-anchor"/>
            <w:bookmarkEnd w:id="0"/>
            <w:bookmarkEnd w:id="1"/>
            <w:r w:rsidRPr="002E621E">
              <w:rPr>
                <w:rFonts w:ascii="Minion Pro" w:eastAsia="Times New Roman" w:hAnsi="Minion Pro" w:cs="Times New Roman"/>
                <w:sz w:val="20"/>
                <w:szCs w:val="20"/>
                <w:lang w:eastAsia="hr-HR"/>
              </w:rPr>
              <w:t>j</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Osnova obveznog osiguranja</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Zakonom propisan</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Članak zakona</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Iznos mjesečne osnovice</w:t>
            </w:r>
          </w:p>
        </w:tc>
      </w:tr>
      <w:tr w:rsidR="002E621E" w:rsidRPr="002E621E" w:rsidTr="002E621E">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Šifra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Opis osnove</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r>
      <w:tr w:rsidR="002E621E" w:rsidRPr="002E621E" w:rsidTr="002E621E">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6</w:t>
            </w:r>
          </w:p>
        </w:tc>
      </w:tr>
      <w:tr w:rsidR="002E621E" w:rsidRPr="002E621E" w:rsidTr="002E621E">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0100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SAMOSTALNA DJELATNOST OBRTA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r>
      <w:tr w:rsidR="002E621E" w:rsidRPr="002E621E" w:rsidTr="002E621E">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0101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i/>
                <w:iCs/>
                <w:sz w:val="20"/>
                <w:szCs w:val="20"/>
                <w:bdr w:val="none" w:sz="0" w:space="0" w:color="auto" w:frame="1"/>
                <w:lang w:eastAsia="hr-HR"/>
              </w:rPr>
              <w:t>dohodak od samostalne djelatnosti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0,65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66. st. 1. točka 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5.161,65</w:t>
            </w:r>
          </w:p>
        </w:tc>
      </w:tr>
      <w:tr w:rsidR="002E621E" w:rsidRPr="002E621E" w:rsidTr="002E621E">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0102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i/>
                <w:iCs/>
                <w:sz w:val="20"/>
                <w:szCs w:val="20"/>
                <w:bdr w:val="none" w:sz="0" w:space="0" w:color="auto" w:frame="1"/>
                <w:lang w:eastAsia="hr-HR"/>
              </w:rPr>
              <w:t>porez prema paušalnom dohotku</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0,4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70.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3.176,40</w:t>
            </w:r>
          </w:p>
        </w:tc>
      </w:tr>
      <w:tr w:rsidR="002E621E" w:rsidRPr="002E621E" w:rsidTr="002E621E">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0200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SAMOSTALNA DJELATNOST SLOBODNOG ZANIMANJA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r>
      <w:tr w:rsidR="002E621E" w:rsidRPr="002E621E" w:rsidTr="002E621E">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0201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i/>
                <w:iCs/>
                <w:sz w:val="20"/>
                <w:szCs w:val="20"/>
                <w:bdr w:val="none" w:sz="0" w:space="0" w:color="auto" w:frame="1"/>
                <w:lang w:eastAsia="hr-HR"/>
              </w:rPr>
              <w:t>dohodak od samostalne djelatnosti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66. st. 1. točka 2.</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8.735,10</w:t>
            </w:r>
          </w:p>
        </w:tc>
      </w:tr>
      <w:tr w:rsidR="002E621E" w:rsidRPr="002E621E" w:rsidTr="002E621E">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0202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i/>
                <w:iCs/>
                <w:sz w:val="20"/>
                <w:szCs w:val="20"/>
                <w:bdr w:val="none" w:sz="0" w:space="0" w:color="auto" w:frame="1"/>
                <w:lang w:eastAsia="hr-HR"/>
              </w:rPr>
              <w:t>športaš – dohodak od samostalne djelatnosti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66. st. 1. točka 3.</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r>
      <w:tr w:rsidR="002E621E" w:rsidRPr="002E621E" w:rsidTr="002E621E">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0204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i/>
                <w:iCs/>
                <w:sz w:val="20"/>
                <w:szCs w:val="20"/>
                <w:bdr w:val="none" w:sz="0" w:space="0" w:color="auto" w:frame="1"/>
                <w:lang w:eastAsia="hr-HR"/>
              </w:rPr>
              <w:t>športaš – porez po odbitku</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1,0</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74.</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7.941,00</w:t>
            </w:r>
          </w:p>
        </w:tc>
      </w:tr>
      <w:tr w:rsidR="002E621E" w:rsidRPr="002E621E" w:rsidTr="002E621E">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lastRenderedPageBreak/>
              <w:t>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0205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i/>
                <w:iCs/>
                <w:sz w:val="20"/>
                <w:szCs w:val="20"/>
                <w:bdr w:val="none" w:sz="0" w:space="0" w:color="auto" w:frame="1"/>
                <w:lang w:eastAsia="hr-HR"/>
              </w:rPr>
              <w:t>umjetnik – porez po odbitku</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r>
      <w:tr w:rsidR="002E621E" w:rsidRPr="002E621E" w:rsidTr="002E621E">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lastRenderedPageBreak/>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1800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OSTALE SAMOSTALNE DJELATNOSTI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r>
      <w:tr w:rsidR="002E621E" w:rsidRPr="002E621E" w:rsidTr="002E621E">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1801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i/>
                <w:iCs/>
                <w:sz w:val="20"/>
                <w:szCs w:val="20"/>
                <w:bdr w:val="none" w:sz="0" w:space="0" w:color="auto" w:frame="1"/>
                <w:lang w:eastAsia="hr-HR"/>
              </w:rPr>
              <w:t>medicinska sestra – dohodak od samostalne djelatnosti</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0,65</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66. stavak 2.</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5.161,65</w:t>
            </w:r>
          </w:p>
        </w:tc>
      </w:tr>
      <w:tr w:rsidR="002E621E" w:rsidRPr="002E621E" w:rsidTr="002E621E">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1802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i/>
                <w:iCs/>
                <w:sz w:val="20"/>
                <w:szCs w:val="20"/>
                <w:bdr w:val="none" w:sz="0" w:space="0" w:color="auto" w:frame="1"/>
                <w:lang w:eastAsia="hr-HR"/>
              </w:rPr>
              <w:t>zubotehničar – dohodak od samostalne djelatnosti</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r>
      <w:tr w:rsidR="002E621E" w:rsidRPr="002E621E" w:rsidTr="002E621E">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3.3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1803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i/>
                <w:iCs/>
                <w:sz w:val="20"/>
                <w:szCs w:val="20"/>
                <w:bdr w:val="none" w:sz="0" w:space="0" w:color="auto" w:frame="1"/>
                <w:lang w:eastAsia="hr-HR"/>
              </w:rPr>
              <w:t>fizioterapeut – dohodak od samostalne djelatnosti</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r>
      <w:tr w:rsidR="002E621E" w:rsidRPr="002E621E" w:rsidTr="002E621E">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3.4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1804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i/>
                <w:iCs/>
                <w:sz w:val="20"/>
                <w:szCs w:val="20"/>
                <w:bdr w:val="none" w:sz="0" w:space="0" w:color="auto" w:frame="1"/>
                <w:lang w:eastAsia="hr-HR"/>
              </w:rPr>
              <w:t>novinar – dohodak od samostalne djelatnosti ili porez po odbitku</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r>
      <w:tr w:rsidR="002E621E" w:rsidRPr="002E621E" w:rsidTr="002E621E">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3.5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1805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i/>
                <w:iCs/>
                <w:sz w:val="20"/>
                <w:szCs w:val="20"/>
                <w:bdr w:val="none" w:sz="0" w:space="0" w:color="auto" w:frame="1"/>
                <w:lang w:eastAsia="hr-HR"/>
              </w:rPr>
              <w:t>filmski radnik – dohodak od samostalne djelatnosti</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r>
      <w:tr w:rsidR="002E621E" w:rsidRPr="002E621E" w:rsidTr="002E621E">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3.6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1806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i/>
                <w:iCs/>
                <w:sz w:val="20"/>
                <w:szCs w:val="20"/>
                <w:bdr w:val="none" w:sz="0" w:space="0" w:color="auto" w:frame="1"/>
                <w:lang w:eastAsia="hr-HR"/>
              </w:rPr>
              <w:t>predstavnik obiteljskog doma – dohodak od samostalne djelatnosti</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r>
      <w:tr w:rsidR="002E621E" w:rsidRPr="002E621E" w:rsidTr="002E621E">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3.7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1807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i/>
                <w:iCs/>
                <w:sz w:val="20"/>
                <w:szCs w:val="20"/>
                <w:bdr w:val="none" w:sz="0" w:space="0" w:color="auto" w:frame="1"/>
                <w:lang w:eastAsia="hr-HR"/>
              </w:rPr>
              <w:t>ostale samostalne djelatnosti – osiguranici po osnovi upisa u RPO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0,65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66. st. 1. točka 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5.161,65</w:t>
            </w:r>
          </w:p>
        </w:tc>
      </w:tr>
      <w:tr w:rsidR="002E621E" w:rsidRPr="002E621E" w:rsidTr="002E621E">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0300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SAMOSTALNA DJELATNOST POLJOPRIVREDE I ŠUMARSTVA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r>
      <w:tr w:rsidR="002E621E" w:rsidRPr="002E621E" w:rsidTr="002E621E">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0302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i/>
                <w:iCs/>
                <w:sz w:val="20"/>
                <w:szCs w:val="20"/>
                <w:bdr w:val="none" w:sz="0" w:space="0" w:color="auto" w:frame="1"/>
                <w:lang w:eastAsia="hr-HR"/>
              </w:rPr>
              <w:t>porez prema paušalnom dohotku</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0,4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70.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3.176,40</w:t>
            </w:r>
          </w:p>
        </w:tc>
      </w:tr>
      <w:tr w:rsidR="002E621E" w:rsidRPr="002E621E" w:rsidTr="002E621E">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0303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i/>
                <w:iCs/>
                <w:sz w:val="20"/>
                <w:szCs w:val="20"/>
                <w:bdr w:val="none" w:sz="0" w:space="0" w:color="auto" w:frame="1"/>
                <w:lang w:eastAsia="hr-HR"/>
              </w:rPr>
              <w:t>dohodak od samostalne djelatnosti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0,55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66. stavak 1. točka 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4.367,55</w:t>
            </w:r>
          </w:p>
        </w:tc>
      </w:tr>
      <w:tr w:rsidR="002E621E" w:rsidRPr="002E621E" w:rsidTr="002E621E">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0301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POLJOPRIVREDA – NIJE OBVEZNIK POREZA NA DOHODAK, UPISAN U OPG</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0,35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85.c</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2.779,35</w:t>
            </w:r>
          </w:p>
        </w:tc>
      </w:tr>
      <w:tr w:rsidR="002E621E" w:rsidRPr="002E621E" w:rsidTr="002E621E">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0304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POLJOPRIVREDA – NIJE OBVEZNIK POREZA NA DOHODAK NITI JE UPISAN U OPG</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0,35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88.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2.779,35</w:t>
            </w:r>
          </w:p>
        </w:tc>
      </w:tr>
      <w:tr w:rsidR="002E621E" w:rsidRPr="002E621E" w:rsidTr="002E621E">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0600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SVEĆENIK I DRUGI ČLANOVI VJERSKE ZAJEDNICE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0,35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97.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2.779,35</w:t>
            </w:r>
          </w:p>
        </w:tc>
      </w:tr>
      <w:tr w:rsidR="002E621E" w:rsidRPr="002E621E" w:rsidTr="002E621E">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0700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KORISNIK MIROVINE ILI INVALIDNINE OD STRANOG NOSITELJA OSIGURANJA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0,35 – 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132.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2.779,35– 7.941,00</w:t>
            </w:r>
          </w:p>
        </w:tc>
      </w:tr>
      <w:tr w:rsidR="002E621E" w:rsidRPr="002E621E" w:rsidTr="002E621E">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0800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ZAPOSLENJE U INOZEMSTVU KOD MEĐUNARODNIH ORGANIZACIJA I STRANIH POSLODAVCA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105.</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7.941,00</w:t>
            </w:r>
          </w:p>
        </w:tc>
      </w:tr>
      <w:tr w:rsidR="002E621E" w:rsidRPr="002E621E" w:rsidTr="002E621E">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0900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ZAPOSLENJE U TUZEMSTVU KOD POSLODAVACA SA SJEDIŠTEM U INOZEMSTVU KOJI NEMAJU REGISTRIRANU PODRUŽNICU U TUZEMSTVU</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109.</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r>
      <w:tr w:rsidR="002E621E" w:rsidRPr="002E621E" w:rsidTr="002E621E">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1000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ČLAN UPRAVE TRGOVAČKOG DRUŠTVA I IZVRŠNI DIREKTOR TRGOVAČKOG DRUŠTVA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92.</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r>
      <w:tr w:rsidR="002E621E" w:rsidRPr="002E621E" w:rsidTr="002E621E">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1100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PRODUŽENO MIROVINSKO OSIGURANJE</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0,35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120.</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2.779,35</w:t>
            </w:r>
          </w:p>
        </w:tc>
      </w:tr>
      <w:tr w:rsidR="002E621E" w:rsidRPr="002E621E" w:rsidTr="002E621E">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1300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OSOBA KOJA ZDRAVSTVENO OSIGURANJE NE OSTVARUJE PO DRUGOJ OSNOVI</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0,35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153.</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r>
      <w:tr w:rsidR="002E621E" w:rsidRPr="002E621E" w:rsidTr="002E621E">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lastRenderedPageBreak/>
              <w:t>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1500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ČLAN OBITELJI OSOBE ZAPOSLENE U INOZEMSTVU</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0,35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157.</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r>
      <w:tr w:rsidR="002E621E" w:rsidRPr="002E621E" w:rsidTr="002E621E">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lastRenderedPageBreak/>
              <w:t>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1600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STRANAC</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0,35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169.</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r>
      <w:tr w:rsidR="002E621E" w:rsidRPr="002E621E" w:rsidTr="002E621E">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1700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ČLAN OBITELJI STRANCA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0,35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173.</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r>
    </w:tbl>
    <w:p w:rsidR="002E621E" w:rsidRPr="002E621E" w:rsidRDefault="002E621E" w:rsidP="002E621E">
      <w:pPr>
        <w:spacing w:after="0" w:line="240" w:lineRule="auto"/>
        <w:jc w:val="center"/>
        <w:textAlignment w:val="baseline"/>
        <w:rPr>
          <w:rFonts w:ascii="Minion Pro" w:eastAsia="Times New Roman" w:hAnsi="Minion Pro" w:cs="Times New Roman"/>
          <w:i/>
          <w:iCs/>
          <w:color w:val="000000"/>
          <w:sz w:val="26"/>
          <w:szCs w:val="26"/>
          <w:lang w:eastAsia="hr-HR"/>
        </w:rPr>
      </w:pPr>
      <w:r w:rsidRPr="002E621E">
        <w:rPr>
          <w:rFonts w:ascii="Minion Pro" w:eastAsia="Times New Roman" w:hAnsi="Minion Pro" w:cs="Times New Roman"/>
          <w:i/>
          <w:iCs/>
          <w:color w:val="000000"/>
          <w:sz w:val="26"/>
          <w:szCs w:val="26"/>
          <w:bdr w:val="none" w:sz="0" w:space="0" w:color="auto" w:frame="1"/>
          <w:lang w:eastAsia="hr-HR"/>
        </w:rPr>
        <w:t>3. Mjesečne osnovice za obveze koje utvrđuju obveznici obračunavanja</w:t>
      </w:r>
    </w:p>
    <w:p w:rsidR="002E621E" w:rsidRPr="002E621E" w:rsidRDefault="002E621E" w:rsidP="002E621E">
      <w:pPr>
        <w:spacing w:after="225" w:line="240" w:lineRule="auto"/>
        <w:jc w:val="center"/>
        <w:textAlignment w:val="baseline"/>
        <w:rPr>
          <w:rFonts w:ascii="Minion Pro" w:eastAsia="Times New Roman" w:hAnsi="Minion Pro" w:cs="Times New Roman"/>
          <w:color w:val="000000"/>
          <w:sz w:val="24"/>
          <w:szCs w:val="24"/>
          <w:lang w:eastAsia="hr-HR"/>
        </w:rPr>
      </w:pPr>
      <w:r w:rsidRPr="002E621E">
        <w:rPr>
          <w:rFonts w:ascii="Minion Pro" w:eastAsia="Times New Roman" w:hAnsi="Minion Pro" w:cs="Times New Roman"/>
          <w:color w:val="000000"/>
          <w:sz w:val="24"/>
          <w:szCs w:val="24"/>
          <w:lang w:eastAsia="hr-HR"/>
        </w:rPr>
        <w:t>Članak 7.</w:t>
      </w:r>
    </w:p>
    <w:p w:rsidR="002E621E" w:rsidRPr="002E621E" w:rsidRDefault="002E621E" w:rsidP="002E621E">
      <w:pPr>
        <w:spacing w:line="240" w:lineRule="auto"/>
        <w:jc w:val="both"/>
        <w:textAlignment w:val="baseline"/>
        <w:rPr>
          <w:rFonts w:ascii="Minion Pro" w:eastAsia="Times New Roman" w:hAnsi="Minion Pro" w:cs="Times New Roman"/>
          <w:color w:val="000000"/>
          <w:sz w:val="24"/>
          <w:szCs w:val="24"/>
          <w:lang w:eastAsia="hr-HR"/>
        </w:rPr>
      </w:pPr>
      <w:r w:rsidRPr="002E621E">
        <w:rPr>
          <w:rFonts w:ascii="Minion Pro" w:eastAsia="Times New Roman" w:hAnsi="Minion Pro" w:cs="Times New Roman"/>
          <w:color w:val="000000"/>
          <w:sz w:val="24"/>
          <w:szCs w:val="24"/>
          <w:lang w:eastAsia="hr-HR"/>
        </w:rPr>
        <w:t>Iznosi mjesečnih osnovica za obveze koje utvrđuju obveznici obračunavanja umnožak su iznosa prosječne plaće i Zakonom propisanih koeficijenata – prema osnovama obveznog osiguranja ili statusu u osiguranju, i to:</w:t>
      </w:r>
    </w:p>
    <w:tbl>
      <w:tblPr>
        <w:tblW w:w="0" w:type="auto"/>
        <w:tblCellSpacing w:w="15" w:type="dxa"/>
        <w:tblCellMar>
          <w:left w:w="0" w:type="dxa"/>
          <w:right w:w="0" w:type="dxa"/>
        </w:tblCellMar>
        <w:tblLook w:val="04A0" w:firstRow="1" w:lastRow="0" w:firstColumn="1" w:lastColumn="0" w:noHBand="0" w:noVBand="1"/>
      </w:tblPr>
      <w:tblGrid>
        <w:gridCol w:w="559"/>
        <w:gridCol w:w="5071"/>
        <w:gridCol w:w="1379"/>
        <w:gridCol w:w="810"/>
        <w:gridCol w:w="1237"/>
      </w:tblGrid>
      <w:tr w:rsidR="002E621E" w:rsidRPr="002E621E" w:rsidTr="002E621E">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Red. broj</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Osnova obveznog osiguranja</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Zakonom propisan koeficijent</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Članak zakona</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Iznos mjesečne osnovice</w:t>
            </w:r>
          </w:p>
        </w:tc>
      </w:tr>
      <w:tr w:rsidR="002E621E" w:rsidRPr="002E621E" w:rsidTr="002E621E">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2E621E" w:rsidRPr="002E621E" w:rsidRDefault="002E621E" w:rsidP="002E621E">
            <w:pPr>
              <w:spacing w:after="0" w:line="240" w:lineRule="auto"/>
              <w:jc w:val="center"/>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Obveznik obračunavanja</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r>
      <w:tr w:rsidR="002E621E" w:rsidRPr="002E621E" w:rsidTr="002E621E">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5</w:t>
            </w:r>
          </w:p>
        </w:tc>
      </w:tr>
      <w:tr w:rsidR="002E621E" w:rsidRPr="002E621E" w:rsidTr="002E621E">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OSIGURANICI IZ ČLANKA 9. ZAKONA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r>
      <w:tr w:rsidR="002E621E" w:rsidRPr="002E621E" w:rsidTr="002E621E">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i/>
                <w:iCs/>
                <w:sz w:val="20"/>
                <w:szCs w:val="20"/>
                <w:bdr w:val="none" w:sz="0" w:space="0" w:color="auto" w:frame="1"/>
                <w:lang w:eastAsia="hr-HR"/>
              </w:rPr>
              <w:t>stručno osposobljavanje za rad bez zasnivanja radnog odnosa</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0,35</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44.</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2.779,35</w:t>
            </w:r>
          </w:p>
        </w:tc>
      </w:tr>
      <w:tr w:rsidR="002E621E" w:rsidRPr="002E621E" w:rsidTr="002E621E">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POSLODAVAC</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r>
      <w:tr w:rsidR="002E621E" w:rsidRPr="002E621E" w:rsidTr="002E621E">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1.2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i/>
                <w:iCs/>
                <w:sz w:val="20"/>
                <w:szCs w:val="20"/>
                <w:bdr w:val="none" w:sz="0" w:space="0" w:color="auto" w:frame="1"/>
                <w:lang w:eastAsia="hr-HR"/>
              </w:rPr>
              <w:t>nezaposlene osobe</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0,35</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49. stavak 1.</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2.779,35</w:t>
            </w:r>
          </w:p>
        </w:tc>
      </w:tr>
      <w:tr w:rsidR="002E621E" w:rsidRPr="002E621E" w:rsidTr="002E621E">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HZZ</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r>
      <w:tr w:rsidR="002E621E" w:rsidRPr="002E621E" w:rsidTr="002E621E">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1.3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i/>
                <w:iCs/>
                <w:sz w:val="20"/>
                <w:szCs w:val="20"/>
                <w:bdr w:val="none" w:sz="0" w:space="0" w:color="auto" w:frame="1"/>
                <w:lang w:eastAsia="hr-HR"/>
              </w:rPr>
              <w:t>korisnici invalidske mirovine zbog profesionalne nesposobnosti za rad</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1,0</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49. stavak 2.</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razmjerno stažu</w:t>
            </w:r>
          </w:p>
        </w:tc>
      </w:tr>
      <w:tr w:rsidR="002E621E" w:rsidRPr="002E621E" w:rsidTr="002E621E">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HZMO</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r>
      <w:tr w:rsidR="002E621E" w:rsidRPr="002E621E" w:rsidTr="002E621E">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1.4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i/>
                <w:iCs/>
                <w:sz w:val="20"/>
                <w:szCs w:val="20"/>
                <w:bdr w:val="none" w:sz="0" w:space="0" w:color="auto" w:frame="1"/>
                <w:lang w:eastAsia="hr-HR"/>
              </w:rPr>
              <w:t>roditelji – njegovatelji</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0,35</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58.</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2.779,35</w:t>
            </w:r>
          </w:p>
        </w:tc>
      </w:tr>
      <w:tr w:rsidR="002E621E" w:rsidRPr="002E621E" w:rsidTr="002E621E">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MINISTARSTVO ZDR. I SOC. SKRBI</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r>
      <w:tr w:rsidR="002E621E" w:rsidRPr="002E621E" w:rsidTr="002E621E">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1.5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i/>
                <w:iCs/>
                <w:sz w:val="20"/>
                <w:szCs w:val="20"/>
                <w:bdr w:val="none" w:sz="0" w:space="0" w:color="auto" w:frame="1"/>
                <w:lang w:eastAsia="hr-HR"/>
              </w:rPr>
              <w:t>samostalni umjetnici kojima se doprinosi plaćaju iz državnog proračuna</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0,8</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78.</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6.352,80</w:t>
            </w:r>
          </w:p>
        </w:tc>
      </w:tr>
      <w:tr w:rsidR="002E621E" w:rsidRPr="002E621E" w:rsidTr="002E621E">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MINISTARTSVO KULTURE</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r>
      <w:tr w:rsidR="002E621E" w:rsidRPr="002E621E" w:rsidTr="002E621E">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1.6</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i/>
                <w:iCs/>
                <w:sz w:val="20"/>
                <w:szCs w:val="20"/>
                <w:bdr w:val="none" w:sz="0" w:space="0" w:color="auto" w:frame="1"/>
                <w:lang w:eastAsia="hr-HR"/>
              </w:rPr>
              <w:t>roditelj koji obavlja roditeljske dužnosti</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0,35</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101.</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2.779,35</w:t>
            </w:r>
          </w:p>
        </w:tc>
      </w:tr>
      <w:tr w:rsidR="002E621E" w:rsidRPr="002E621E" w:rsidTr="002E621E">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HZMO</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r>
      <w:tr w:rsidR="002E621E" w:rsidRPr="002E621E" w:rsidTr="002E621E">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1.7</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i/>
                <w:iCs/>
                <w:sz w:val="20"/>
                <w:szCs w:val="20"/>
                <w:bdr w:val="none" w:sz="0" w:space="0" w:color="auto" w:frame="1"/>
                <w:lang w:eastAsia="hr-HR"/>
              </w:rPr>
              <w:t>produženo mirovinsko osiguranje – bračnog druga prof. odnosno ugovornog diplomata</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0,35</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124.</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2.779,35</w:t>
            </w:r>
          </w:p>
        </w:tc>
      </w:tr>
      <w:tr w:rsidR="002E621E" w:rsidRPr="002E621E" w:rsidTr="002E621E">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MINISTARSTVO – POSLODAVAC DIPLOMATA</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r>
      <w:tr w:rsidR="002E621E" w:rsidRPr="002E621E" w:rsidTr="002E621E">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1.8</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i/>
                <w:iCs/>
                <w:sz w:val="20"/>
                <w:szCs w:val="20"/>
                <w:bdr w:val="none" w:sz="0" w:space="0" w:color="auto" w:frame="1"/>
                <w:lang w:eastAsia="hr-HR"/>
              </w:rPr>
              <w:t>produženo mirovinsko osiguranje – stalnog sezonskog radnika</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0,35</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128.</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2.779,35</w:t>
            </w:r>
          </w:p>
        </w:tc>
      </w:tr>
      <w:tr w:rsidR="002E621E" w:rsidRPr="002E621E" w:rsidTr="002E621E">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POSLODAVAC</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r>
      <w:tr w:rsidR="002E621E" w:rsidRPr="002E621E" w:rsidTr="002E621E">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1.9</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i/>
                <w:iCs/>
                <w:sz w:val="20"/>
                <w:szCs w:val="20"/>
                <w:bdr w:val="none" w:sz="0" w:space="0" w:color="auto" w:frame="1"/>
                <w:lang w:eastAsia="hr-HR"/>
              </w:rPr>
              <w:t>osobe koja je prekinula rad a bivši ju je poslodavac uputio na obrazovanje ili stručno usavršavanje</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0,35</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141.</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2.779,35</w:t>
            </w:r>
          </w:p>
        </w:tc>
      </w:tr>
      <w:tr w:rsidR="002E621E" w:rsidRPr="002E621E" w:rsidTr="002E621E">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OSOBA KOJA JE IZVRŠILA PRIJAVU</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r>
      <w:tr w:rsidR="002E621E" w:rsidRPr="002E621E" w:rsidTr="002E621E">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lastRenderedPageBreak/>
              <w:t>1.10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i/>
                <w:iCs/>
                <w:sz w:val="20"/>
                <w:szCs w:val="20"/>
                <w:bdr w:val="none" w:sz="0" w:space="0" w:color="auto" w:frame="1"/>
                <w:lang w:eastAsia="hr-HR"/>
              </w:rPr>
              <w:t>osobe koju je pravna ili fizička osoba, prije stupanja u radni odnos, uputila na prakt. rad</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0,35</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145.</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2.779,35</w:t>
            </w:r>
          </w:p>
        </w:tc>
      </w:tr>
      <w:tr w:rsidR="002E621E" w:rsidRPr="002E621E" w:rsidTr="002E621E">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OSOBA KOJA JE IZVRŠILA PRIJAVU</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r>
      <w:tr w:rsidR="002E621E" w:rsidRPr="002E621E" w:rsidTr="002E621E">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1.11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i/>
                <w:iCs/>
                <w:sz w:val="20"/>
                <w:szCs w:val="20"/>
                <w:bdr w:val="none" w:sz="0" w:space="0" w:color="auto" w:frame="1"/>
                <w:lang w:eastAsia="hr-HR"/>
              </w:rPr>
              <w:t>osobe upućene u inozemstvo u sklopu međunarodne tehničko-prosvjetne suradnje</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0,35</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149.</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2.779,35</w:t>
            </w:r>
          </w:p>
        </w:tc>
      </w:tr>
      <w:tr w:rsidR="002E621E" w:rsidRPr="002E621E" w:rsidTr="002E621E">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OSOBA KOJA JE IZVRŠILA PRIJAVU</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r>
      <w:tr w:rsidR="002E621E" w:rsidRPr="002E621E" w:rsidTr="002E621E">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OSIGURANICI IZ ČLANKA 10. ZAKONA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r>
      <w:tr w:rsidR="002E621E" w:rsidRPr="002E621E" w:rsidTr="002E621E">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2.1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i/>
                <w:iCs/>
                <w:sz w:val="20"/>
                <w:szCs w:val="20"/>
                <w:bdr w:val="none" w:sz="0" w:space="0" w:color="auto" w:frame="1"/>
                <w:lang w:eastAsia="hr-HR"/>
              </w:rPr>
              <w:t>učenici i studenti na dodiplomskom studiju za vrijeme praktične nastave i za vrijeme stručne prakse kod poslodavca te stručnih putovanja</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0,35</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165.</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2.779,35</w:t>
            </w:r>
          </w:p>
        </w:tc>
      </w:tr>
      <w:tr w:rsidR="002E621E" w:rsidRPr="002E621E" w:rsidTr="002E621E">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ŠKOLA ILI USTANOVA KOJA UPUĆUJE</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r>
      <w:tr w:rsidR="002E621E" w:rsidRPr="002E621E" w:rsidTr="002E621E">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2.2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i/>
                <w:iCs/>
                <w:sz w:val="20"/>
                <w:szCs w:val="20"/>
                <w:bdr w:val="none" w:sz="0" w:space="0" w:color="auto" w:frame="1"/>
                <w:lang w:eastAsia="hr-HR"/>
              </w:rPr>
              <w:t>nezaposlene osobe za vrijeme stručnog osposobljavanja ili prof. rehabilitacije na koje ih je uputila nadležna služba zapošljavanja</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0,35</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165.</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2.779,35</w:t>
            </w:r>
          </w:p>
        </w:tc>
      </w:tr>
      <w:tr w:rsidR="002E621E" w:rsidRPr="002E621E" w:rsidTr="002E621E">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HZZ</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r>
      <w:tr w:rsidR="002E621E" w:rsidRPr="002E621E" w:rsidTr="002E621E">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2.3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i/>
                <w:iCs/>
                <w:sz w:val="20"/>
                <w:szCs w:val="20"/>
                <w:bdr w:val="none" w:sz="0" w:space="0" w:color="auto" w:frame="1"/>
                <w:lang w:eastAsia="hr-HR"/>
              </w:rPr>
              <w:t>djeca i mladež sa smetnjama u tjelesnom i duševnom razvoju na praktičnoj nastavi ili na obveznom praktičnom radu u pravnoj osobi za osposobljavanje</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0,35</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165.</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2.779,35</w:t>
            </w:r>
          </w:p>
        </w:tc>
      </w:tr>
      <w:tr w:rsidR="002E621E" w:rsidRPr="002E621E" w:rsidTr="002E621E">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ŠKOLA ILI USTANOVA KOJA UPUĆUJE</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r>
      <w:tr w:rsidR="002E621E" w:rsidRPr="002E621E" w:rsidTr="002E621E">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2.4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i/>
                <w:iCs/>
                <w:sz w:val="20"/>
                <w:szCs w:val="20"/>
                <w:bdr w:val="none" w:sz="0" w:space="0" w:color="auto" w:frame="1"/>
                <w:lang w:eastAsia="hr-HR"/>
              </w:rPr>
              <w:t>ostale osobe</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0,35</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165.</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2.779,35</w:t>
            </w:r>
          </w:p>
        </w:tc>
      </w:tr>
      <w:tr w:rsidR="002E621E" w:rsidRPr="002E621E" w:rsidTr="002E621E">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TIJELO KOJE JE IZVRŠILO PRIJAVU</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r>
      <w:tr w:rsidR="002E621E" w:rsidRPr="002E621E" w:rsidTr="002E621E">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OSIGURANICI IZ ČLANKA 11. ZAKONA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r>
      <w:tr w:rsidR="002E621E" w:rsidRPr="002E621E" w:rsidTr="002E621E">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3.1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i/>
                <w:iCs/>
                <w:sz w:val="20"/>
                <w:szCs w:val="20"/>
                <w:bdr w:val="none" w:sz="0" w:space="0" w:color="auto" w:frame="1"/>
                <w:lang w:eastAsia="hr-HR"/>
              </w:rPr>
              <w:t>stranca za kojega troškove zdravstvene zaštite snosi davatelj stipendije</w:t>
            </w:r>
          </w:p>
          <w:p w:rsidR="002E621E" w:rsidRPr="002E621E" w:rsidRDefault="002E621E" w:rsidP="002E621E">
            <w:pPr>
              <w:spacing w:after="0"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i/>
                <w:iCs/>
                <w:sz w:val="20"/>
                <w:szCs w:val="20"/>
                <w:bdr w:val="none" w:sz="0" w:space="0" w:color="auto" w:frame="1"/>
                <w:lang w:eastAsia="hr-HR"/>
              </w:rPr>
              <w:t>– članak 11. stavak 1. točka 3. Zakona</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0,35</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177.</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2.779,35</w:t>
            </w:r>
          </w:p>
        </w:tc>
      </w:tr>
      <w:tr w:rsidR="002E621E" w:rsidRPr="002E621E" w:rsidTr="002E621E">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DAVATELJ STIPENDIJE</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r>
      <w:tr w:rsidR="002E621E" w:rsidRPr="002E621E" w:rsidTr="002E621E">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OSIGURANJE RADI KORIŠTENJA PRAVA NA ZDR. ZAŠTITU U INOZ. ZA VRIJEME SL. BORAVKA ZAPOSLENIH KOJIMA SE NE ISPLAĆUJE PLAĆA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r>
      <w:tr w:rsidR="002E621E" w:rsidRPr="002E621E" w:rsidTr="002E621E">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4.1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i/>
                <w:iCs/>
                <w:sz w:val="20"/>
                <w:szCs w:val="20"/>
                <w:bdr w:val="none" w:sz="0" w:space="0" w:color="auto" w:frame="1"/>
                <w:lang w:eastAsia="hr-HR"/>
              </w:rPr>
              <w:t>radni odnos</w:t>
            </w:r>
          </w:p>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 članak 188. stavak 1. točka 2. i 4. Zakona</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1,0</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191. stavak 2.</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7.941,00</w:t>
            </w:r>
          </w:p>
        </w:tc>
      </w:tr>
      <w:tr w:rsidR="002E621E" w:rsidRPr="002E621E" w:rsidTr="002E621E">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POSLODAVAC</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r>
      <w:tr w:rsidR="002E621E" w:rsidRPr="002E621E" w:rsidTr="002E621E">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4.2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i/>
                <w:iCs/>
                <w:sz w:val="20"/>
                <w:szCs w:val="20"/>
                <w:bdr w:val="none" w:sz="0" w:space="0" w:color="auto" w:frame="1"/>
                <w:lang w:eastAsia="hr-HR"/>
              </w:rPr>
              <w:t>izabrane i imenovane osobe</w:t>
            </w:r>
          </w:p>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 članak 188. stavak 1. točka 6. Zakona</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1,0</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191. stavak 2.</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7.941,00</w:t>
            </w:r>
          </w:p>
        </w:tc>
      </w:tr>
      <w:tr w:rsidR="002E621E" w:rsidRPr="002E621E" w:rsidTr="002E621E">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TIJELO U KOJEM OBAVLJA DUŽNOST</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r>
      <w:tr w:rsidR="002E621E" w:rsidRPr="002E621E" w:rsidTr="002E621E">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OSIGURANJE RADI KORIŠTENJA PRAVA NA ZDR. ZAŠTITU U INOZ. ZA VRIJEME SLUŽB. PUTA U INOZEMSTVO</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r>
      <w:tr w:rsidR="002E621E" w:rsidRPr="002E621E" w:rsidTr="002E621E">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5.1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i/>
                <w:iCs/>
                <w:sz w:val="20"/>
                <w:szCs w:val="20"/>
                <w:bdr w:val="none" w:sz="0" w:space="0" w:color="auto" w:frame="1"/>
                <w:lang w:eastAsia="hr-HR"/>
              </w:rPr>
              <w:t>radni odnos</w:t>
            </w:r>
          </w:p>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lastRenderedPageBreak/>
              <w:t>– članak 188. stavak 1. točka 3. i 5. Zakona</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lastRenderedPageBreak/>
              <w:t>0,35</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191. stavak 3.</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2.779,35</w:t>
            </w:r>
          </w:p>
        </w:tc>
      </w:tr>
      <w:tr w:rsidR="002E621E" w:rsidRPr="002E621E" w:rsidTr="002E621E">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POSLODAVAC</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r>
      <w:tr w:rsidR="002E621E" w:rsidRPr="002E621E" w:rsidTr="002E621E">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5.2</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i/>
                <w:iCs/>
                <w:sz w:val="20"/>
                <w:szCs w:val="20"/>
                <w:bdr w:val="none" w:sz="0" w:space="0" w:color="auto" w:frame="1"/>
                <w:lang w:eastAsia="hr-HR"/>
              </w:rPr>
              <w:t>izabrane i imenovane osobe</w:t>
            </w:r>
          </w:p>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 članak 188. stavak 1. točka 7. Zakona</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0,35</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191. stavak 3.</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2.779,35</w:t>
            </w:r>
          </w:p>
        </w:tc>
      </w:tr>
      <w:tr w:rsidR="002E621E" w:rsidRPr="002E621E" w:rsidTr="002E621E">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TIJELO U KOJEM OBAVLJA DUŽNOST</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r>
      <w:tr w:rsidR="002E621E" w:rsidRPr="002E621E" w:rsidTr="002E621E">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5.3</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i/>
                <w:iCs/>
                <w:sz w:val="20"/>
                <w:szCs w:val="20"/>
                <w:bdr w:val="none" w:sz="0" w:space="0" w:color="auto" w:frame="1"/>
                <w:lang w:eastAsia="hr-HR"/>
              </w:rPr>
              <w:t>primatelja primitka od kojeg se utvrđuje drugi dohodak</w:t>
            </w:r>
          </w:p>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 članak 188. stavak 1. točka 8. i 9. Zakona</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0,35</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191. stavak 3.</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2.779,35</w:t>
            </w:r>
          </w:p>
        </w:tc>
      </w:tr>
      <w:tr w:rsidR="002E621E" w:rsidRPr="002E621E" w:rsidTr="002E621E">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ISPLATITELJ PRIMITKA</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r>
      <w:tr w:rsidR="002E621E" w:rsidRPr="002E621E" w:rsidTr="002E621E">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5.4</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i/>
                <w:iCs/>
                <w:sz w:val="20"/>
                <w:szCs w:val="20"/>
                <w:bdr w:val="none" w:sz="0" w:space="0" w:color="auto" w:frame="1"/>
                <w:lang w:eastAsia="hr-HR"/>
              </w:rPr>
              <w:t>obrta, slobodnoga zanimanja, poljoprivrede i šumarstva i ostalih samostalnih djelatnosti</w:t>
            </w:r>
          </w:p>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 članak 188. stavak 1. točka 10. i 12. Zakona</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0,35</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191. stavak 3.</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2.779,35</w:t>
            </w:r>
          </w:p>
        </w:tc>
      </w:tr>
      <w:tr w:rsidR="002E621E" w:rsidRPr="002E621E" w:rsidTr="002E621E">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SAM OSIGURANIK</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r>
      <w:tr w:rsidR="002E621E" w:rsidRPr="002E621E" w:rsidTr="002E621E">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5.5</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i/>
                <w:iCs/>
                <w:sz w:val="20"/>
                <w:szCs w:val="20"/>
                <w:bdr w:val="none" w:sz="0" w:space="0" w:color="auto" w:frame="1"/>
                <w:lang w:eastAsia="hr-HR"/>
              </w:rPr>
              <w:t>samostalnih djelatnosti koji ima status osiguranika izaslanog na rad u inozemstvo</w:t>
            </w:r>
          </w:p>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 članak 188. stavak 1. točka 11. Zakona</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0,35</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191. stavak 3.</w:t>
            </w:r>
          </w:p>
        </w:tc>
        <w:tc>
          <w:tcPr>
            <w:tcW w:w="0" w:type="auto"/>
            <w:vMerge w:val="restart"/>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2.779,35</w:t>
            </w:r>
          </w:p>
        </w:tc>
      </w:tr>
      <w:tr w:rsidR="002E621E" w:rsidRPr="002E621E" w:rsidTr="002E621E">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bottom"/>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225" w:line="240" w:lineRule="auto"/>
              <w:textAlignment w:val="baseline"/>
              <w:rPr>
                <w:rFonts w:ascii="Minion Pro" w:eastAsia="Times New Roman" w:hAnsi="Minion Pro" w:cs="Times New Roman"/>
                <w:sz w:val="20"/>
                <w:szCs w:val="20"/>
                <w:lang w:eastAsia="hr-HR"/>
              </w:rPr>
            </w:pPr>
            <w:r w:rsidRPr="002E621E">
              <w:rPr>
                <w:rFonts w:ascii="Minion Pro" w:eastAsia="Times New Roman" w:hAnsi="Minion Pro" w:cs="Times New Roman"/>
                <w:sz w:val="20"/>
                <w:szCs w:val="20"/>
                <w:lang w:eastAsia="hr-HR"/>
              </w:rPr>
              <w:t>SAM OSIGURANIK</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2E621E" w:rsidRPr="002E621E" w:rsidRDefault="002E621E" w:rsidP="002E621E">
            <w:pPr>
              <w:spacing w:after="0" w:line="240" w:lineRule="auto"/>
              <w:rPr>
                <w:rFonts w:ascii="Minion Pro" w:eastAsia="Times New Roman" w:hAnsi="Minion Pro" w:cs="Times New Roman"/>
                <w:sz w:val="20"/>
                <w:szCs w:val="20"/>
                <w:lang w:eastAsia="hr-HR"/>
              </w:rPr>
            </w:pPr>
          </w:p>
        </w:tc>
      </w:tr>
    </w:tbl>
    <w:p w:rsidR="002E621E" w:rsidRPr="002E621E" w:rsidRDefault="002E621E" w:rsidP="002E621E">
      <w:pPr>
        <w:spacing w:after="225" w:line="240" w:lineRule="auto"/>
        <w:jc w:val="center"/>
        <w:textAlignment w:val="baseline"/>
        <w:rPr>
          <w:rFonts w:ascii="Minion Pro" w:eastAsia="Times New Roman" w:hAnsi="Minion Pro" w:cs="Times New Roman"/>
          <w:color w:val="000000"/>
          <w:sz w:val="24"/>
          <w:szCs w:val="24"/>
          <w:lang w:eastAsia="hr-HR"/>
        </w:rPr>
      </w:pPr>
      <w:r w:rsidRPr="002E621E">
        <w:rPr>
          <w:rFonts w:ascii="Minion Pro" w:eastAsia="Times New Roman" w:hAnsi="Minion Pro" w:cs="Times New Roman"/>
          <w:color w:val="000000"/>
          <w:sz w:val="24"/>
          <w:szCs w:val="24"/>
          <w:lang w:eastAsia="hr-HR"/>
        </w:rPr>
        <w:t>Članak 8.</w:t>
      </w:r>
    </w:p>
    <w:p w:rsidR="002E621E" w:rsidRPr="002E621E" w:rsidRDefault="002E621E" w:rsidP="002E621E">
      <w:pPr>
        <w:spacing w:after="225" w:line="240" w:lineRule="auto"/>
        <w:jc w:val="both"/>
        <w:textAlignment w:val="baseline"/>
        <w:rPr>
          <w:rFonts w:ascii="Minion Pro" w:eastAsia="Times New Roman" w:hAnsi="Minion Pro" w:cs="Times New Roman"/>
          <w:color w:val="000000"/>
          <w:sz w:val="24"/>
          <w:szCs w:val="24"/>
          <w:lang w:eastAsia="hr-HR"/>
        </w:rPr>
      </w:pPr>
      <w:r w:rsidRPr="002E621E">
        <w:rPr>
          <w:rFonts w:ascii="Minion Pro" w:eastAsia="Times New Roman" w:hAnsi="Minion Pro" w:cs="Times New Roman"/>
          <w:color w:val="000000"/>
          <w:sz w:val="24"/>
          <w:szCs w:val="24"/>
          <w:lang w:eastAsia="hr-HR"/>
        </w:rPr>
        <w:t>Mjesečna osnovica, prema članku 198. Zakona, za obračun dodatnog doprinosa za mirovinsko osiguranje na temelju individualne kapitalizirane štednje za staž osiguranja koji se računa s povećanim trajanjem za osiguranika – osobu s invaliditetom kojem se staž osiguranja računa s povećanim trajanjem iznos je prosječne plaće te iznosi 7.941,00 kuna.</w:t>
      </w:r>
    </w:p>
    <w:p w:rsidR="002E621E" w:rsidRPr="002E621E" w:rsidRDefault="002E621E" w:rsidP="002E621E">
      <w:pPr>
        <w:spacing w:after="225" w:line="240" w:lineRule="auto"/>
        <w:jc w:val="center"/>
        <w:textAlignment w:val="baseline"/>
        <w:rPr>
          <w:rFonts w:ascii="Minion Pro" w:eastAsia="Times New Roman" w:hAnsi="Minion Pro" w:cs="Times New Roman"/>
          <w:color w:val="000000"/>
          <w:sz w:val="24"/>
          <w:szCs w:val="24"/>
          <w:lang w:eastAsia="hr-HR"/>
        </w:rPr>
      </w:pPr>
      <w:r w:rsidRPr="002E621E">
        <w:rPr>
          <w:rFonts w:ascii="Minion Pro" w:eastAsia="Times New Roman" w:hAnsi="Minion Pro" w:cs="Times New Roman"/>
          <w:color w:val="000000"/>
          <w:sz w:val="24"/>
          <w:szCs w:val="24"/>
          <w:lang w:eastAsia="hr-HR"/>
        </w:rPr>
        <w:t>Članak 9.</w:t>
      </w:r>
    </w:p>
    <w:p w:rsidR="002E621E" w:rsidRPr="002E621E" w:rsidRDefault="002E621E" w:rsidP="002E621E">
      <w:pPr>
        <w:spacing w:after="225" w:line="240" w:lineRule="auto"/>
        <w:jc w:val="both"/>
        <w:textAlignment w:val="baseline"/>
        <w:rPr>
          <w:rFonts w:ascii="Minion Pro" w:eastAsia="Times New Roman" w:hAnsi="Minion Pro" w:cs="Times New Roman"/>
          <w:color w:val="000000"/>
          <w:sz w:val="24"/>
          <w:szCs w:val="24"/>
          <w:lang w:eastAsia="hr-HR"/>
        </w:rPr>
      </w:pPr>
      <w:r w:rsidRPr="002E621E">
        <w:rPr>
          <w:rFonts w:ascii="Minion Pro" w:eastAsia="Times New Roman" w:hAnsi="Minion Pro" w:cs="Times New Roman"/>
          <w:color w:val="000000"/>
          <w:sz w:val="24"/>
          <w:szCs w:val="24"/>
          <w:lang w:eastAsia="hr-HR"/>
        </w:rPr>
        <w:t>Najniža mjesečna osnovica – poduzetnička plaća, prema članku 82. stavak 2. Zakona, za osiguranika po osnovi obavljanja samostalne djelatnosti od koje utvrđuje dobit (članak 9. stavak 1. točke 9. do 13. Zakona), umnožak je iznosa prosječne plaće i koeficijenta 1,1 te iznosi 8.735,10 kuna.</w:t>
      </w:r>
    </w:p>
    <w:p w:rsidR="002E621E" w:rsidRPr="002E621E" w:rsidRDefault="002E621E" w:rsidP="002E621E">
      <w:pPr>
        <w:spacing w:after="0" w:line="240" w:lineRule="auto"/>
        <w:jc w:val="center"/>
        <w:textAlignment w:val="baseline"/>
        <w:rPr>
          <w:rFonts w:ascii="Minion Pro" w:eastAsia="Times New Roman" w:hAnsi="Minion Pro" w:cs="Times New Roman"/>
          <w:i/>
          <w:iCs/>
          <w:color w:val="000000"/>
          <w:sz w:val="26"/>
          <w:szCs w:val="26"/>
          <w:lang w:eastAsia="hr-HR"/>
        </w:rPr>
      </w:pPr>
      <w:r w:rsidRPr="002E621E">
        <w:rPr>
          <w:rFonts w:ascii="Minion Pro" w:eastAsia="Times New Roman" w:hAnsi="Minion Pro" w:cs="Times New Roman"/>
          <w:i/>
          <w:iCs/>
          <w:color w:val="000000"/>
          <w:sz w:val="26"/>
          <w:szCs w:val="26"/>
          <w:bdr w:val="none" w:sz="0" w:space="0" w:color="auto" w:frame="1"/>
          <w:lang w:eastAsia="hr-HR"/>
        </w:rPr>
        <w:t>4. Izabrane više mjesečne osnovice</w:t>
      </w:r>
    </w:p>
    <w:p w:rsidR="002E621E" w:rsidRPr="002E621E" w:rsidRDefault="002E621E" w:rsidP="002E621E">
      <w:pPr>
        <w:spacing w:after="225" w:line="240" w:lineRule="auto"/>
        <w:jc w:val="center"/>
        <w:textAlignment w:val="baseline"/>
        <w:rPr>
          <w:rFonts w:ascii="Minion Pro" w:eastAsia="Times New Roman" w:hAnsi="Minion Pro" w:cs="Times New Roman"/>
          <w:color w:val="000000"/>
          <w:sz w:val="24"/>
          <w:szCs w:val="24"/>
          <w:lang w:eastAsia="hr-HR"/>
        </w:rPr>
      </w:pPr>
      <w:r w:rsidRPr="002E621E">
        <w:rPr>
          <w:rFonts w:ascii="Minion Pro" w:eastAsia="Times New Roman" w:hAnsi="Minion Pro" w:cs="Times New Roman"/>
          <w:color w:val="000000"/>
          <w:sz w:val="24"/>
          <w:szCs w:val="24"/>
          <w:lang w:eastAsia="hr-HR"/>
        </w:rPr>
        <w:t>Članak 10.</w:t>
      </w:r>
    </w:p>
    <w:p w:rsidR="002E621E" w:rsidRPr="002E621E" w:rsidRDefault="002E621E" w:rsidP="002E621E">
      <w:pPr>
        <w:spacing w:after="225" w:line="240" w:lineRule="auto"/>
        <w:jc w:val="both"/>
        <w:textAlignment w:val="baseline"/>
        <w:rPr>
          <w:rFonts w:ascii="Minion Pro" w:eastAsia="Times New Roman" w:hAnsi="Minion Pro" w:cs="Times New Roman"/>
          <w:color w:val="000000"/>
          <w:sz w:val="24"/>
          <w:szCs w:val="24"/>
          <w:lang w:eastAsia="hr-HR"/>
        </w:rPr>
      </w:pPr>
      <w:r w:rsidRPr="002E621E">
        <w:rPr>
          <w:rFonts w:ascii="Minion Pro" w:eastAsia="Times New Roman" w:hAnsi="Minion Pro" w:cs="Times New Roman"/>
          <w:color w:val="000000"/>
          <w:sz w:val="24"/>
          <w:szCs w:val="24"/>
          <w:lang w:eastAsia="hr-HR"/>
        </w:rPr>
        <w:t>Izabrane više mjesečne osnovice, prema članku 203. stavak 2. Zakona mogu biti:</w:t>
      </w:r>
    </w:p>
    <w:p w:rsidR="002E621E" w:rsidRPr="002E621E" w:rsidRDefault="002E621E" w:rsidP="002E621E">
      <w:pPr>
        <w:spacing w:after="225" w:line="240" w:lineRule="auto"/>
        <w:jc w:val="both"/>
        <w:textAlignment w:val="baseline"/>
        <w:rPr>
          <w:rFonts w:ascii="Minion Pro" w:eastAsia="Times New Roman" w:hAnsi="Minion Pro" w:cs="Times New Roman"/>
          <w:color w:val="000000"/>
          <w:sz w:val="24"/>
          <w:szCs w:val="24"/>
          <w:lang w:eastAsia="hr-HR"/>
        </w:rPr>
      </w:pPr>
      <w:r w:rsidRPr="002E621E">
        <w:rPr>
          <w:rFonts w:ascii="Minion Pro" w:eastAsia="Times New Roman" w:hAnsi="Minion Pro" w:cs="Times New Roman"/>
          <w:color w:val="000000"/>
          <w:sz w:val="24"/>
          <w:szCs w:val="24"/>
          <w:lang w:eastAsia="hr-HR"/>
        </w:rPr>
        <w:t>1. umnožak iznosa prosječne plaće i koeficijenta 1,0 te iznosi 7.941,00 kuna ili</w:t>
      </w:r>
    </w:p>
    <w:p w:rsidR="002E621E" w:rsidRPr="002E621E" w:rsidRDefault="002E621E" w:rsidP="002E621E">
      <w:pPr>
        <w:spacing w:after="225" w:line="240" w:lineRule="auto"/>
        <w:jc w:val="both"/>
        <w:textAlignment w:val="baseline"/>
        <w:rPr>
          <w:rFonts w:ascii="Minion Pro" w:eastAsia="Times New Roman" w:hAnsi="Minion Pro" w:cs="Times New Roman"/>
          <w:color w:val="000000"/>
          <w:sz w:val="24"/>
          <w:szCs w:val="24"/>
          <w:lang w:eastAsia="hr-HR"/>
        </w:rPr>
      </w:pPr>
      <w:r w:rsidRPr="002E621E">
        <w:rPr>
          <w:rFonts w:ascii="Minion Pro" w:eastAsia="Times New Roman" w:hAnsi="Minion Pro" w:cs="Times New Roman"/>
          <w:color w:val="000000"/>
          <w:sz w:val="24"/>
          <w:szCs w:val="24"/>
          <w:lang w:eastAsia="hr-HR"/>
        </w:rPr>
        <w:t>2. umnožak iznosa prosječne plaće i koeficijenta 2,0 te iznosi 15.882,00 kuna ili</w:t>
      </w:r>
    </w:p>
    <w:p w:rsidR="002E621E" w:rsidRPr="002E621E" w:rsidRDefault="002E621E" w:rsidP="002E621E">
      <w:pPr>
        <w:spacing w:after="225" w:line="240" w:lineRule="auto"/>
        <w:jc w:val="both"/>
        <w:textAlignment w:val="baseline"/>
        <w:rPr>
          <w:rFonts w:ascii="Minion Pro" w:eastAsia="Times New Roman" w:hAnsi="Minion Pro" w:cs="Times New Roman"/>
          <w:color w:val="000000"/>
          <w:sz w:val="24"/>
          <w:szCs w:val="24"/>
          <w:lang w:eastAsia="hr-HR"/>
        </w:rPr>
      </w:pPr>
      <w:r w:rsidRPr="002E621E">
        <w:rPr>
          <w:rFonts w:ascii="Minion Pro" w:eastAsia="Times New Roman" w:hAnsi="Minion Pro" w:cs="Times New Roman"/>
          <w:color w:val="000000"/>
          <w:sz w:val="24"/>
          <w:szCs w:val="24"/>
          <w:lang w:eastAsia="hr-HR"/>
        </w:rPr>
        <w:t>3. umnožak iznosa prosječne plaće i koeficijenta 3,0 te iznosi 23.823,00 kuna ili</w:t>
      </w:r>
    </w:p>
    <w:p w:rsidR="002E621E" w:rsidRPr="002E621E" w:rsidRDefault="002E621E" w:rsidP="002E621E">
      <w:pPr>
        <w:spacing w:after="225" w:line="240" w:lineRule="auto"/>
        <w:jc w:val="both"/>
        <w:textAlignment w:val="baseline"/>
        <w:rPr>
          <w:rFonts w:ascii="Minion Pro" w:eastAsia="Times New Roman" w:hAnsi="Minion Pro" w:cs="Times New Roman"/>
          <w:color w:val="000000"/>
          <w:sz w:val="24"/>
          <w:szCs w:val="24"/>
          <w:lang w:eastAsia="hr-HR"/>
        </w:rPr>
      </w:pPr>
      <w:r w:rsidRPr="002E621E">
        <w:rPr>
          <w:rFonts w:ascii="Minion Pro" w:eastAsia="Times New Roman" w:hAnsi="Minion Pro" w:cs="Times New Roman"/>
          <w:color w:val="000000"/>
          <w:sz w:val="24"/>
          <w:szCs w:val="24"/>
          <w:lang w:eastAsia="hr-HR"/>
        </w:rPr>
        <w:t>4. umnožak iznosa prosječne plaće i koeficijenta 4,0 te iznosi 31.764,00 kuna ili</w:t>
      </w:r>
    </w:p>
    <w:p w:rsidR="002E621E" w:rsidRPr="002E621E" w:rsidRDefault="002E621E" w:rsidP="002E621E">
      <w:pPr>
        <w:spacing w:after="225" w:line="240" w:lineRule="auto"/>
        <w:jc w:val="both"/>
        <w:textAlignment w:val="baseline"/>
        <w:rPr>
          <w:rFonts w:ascii="Minion Pro" w:eastAsia="Times New Roman" w:hAnsi="Minion Pro" w:cs="Times New Roman"/>
          <w:color w:val="000000"/>
          <w:sz w:val="24"/>
          <w:szCs w:val="24"/>
          <w:lang w:eastAsia="hr-HR"/>
        </w:rPr>
      </w:pPr>
      <w:r w:rsidRPr="002E621E">
        <w:rPr>
          <w:rFonts w:ascii="Minion Pro" w:eastAsia="Times New Roman" w:hAnsi="Minion Pro" w:cs="Times New Roman"/>
          <w:color w:val="000000"/>
          <w:sz w:val="24"/>
          <w:szCs w:val="24"/>
          <w:lang w:eastAsia="hr-HR"/>
        </w:rPr>
        <w:t>5. umnožak iznosa prosječne plaće i koeficijenta 5,0 te iznosi 39.705,00 kuna ili</w:t>
      </w:r>
    </w:p>
    <w:p w:rsidR="002E621E" w:rsidRPr="002E621E" w:rsidRDefault="002E621E" w:rsidP="002E621E">
      <w:pPr>
        <w:spacing w:after="225" w:line="240" w:lineRule="auto"/>
        <w:jc w:val="both"/>
        <w:textAlignment w:val="baseline"/>
        <w:rPr>
          <w:rFonts w:ascii="Minion Pro" w:eastAsia="Times New Roman" w:hAnsi="Minion Pro" w:cs="Times New Roman"/>
          <w:color w:val="000000"/>
          <w:sz w:val="24"/>
          <w:szCs w:val="24"/>
          <w:lang w:eastAsia="hr-HR"/>
        </w:rPr>
      </w:pPr>
      <w:r w:rsidRPr="002E621E">
        <w:rPr>
          <w:rFonts w:ascii="Minion Pro" w:eastAsia="Times New Roman" w:hAnsi="Minion Pro" w:cs="Times New Roman"/>
          <w:color w:val="000000"/>
          <w:sz w:val="24"/>
          <w:szCs w:val="24"/>
          <w:lang w:eastAsia="hr-HR"/>
        </w:rPr>
        <w:lastRenderedPageBreak/>
        <w:t>6. umnožak iznosa prosječne plaće i koeficijenta 6,0 te iznosi 47.646,00 kuna.</w:t>
      </w:r>
    </w:p>
    <w:p w:rsidR="002E621E" w:rsidRPr="002E621E" w:rsidRDefault="002E621E" w:rsidP="002E621E">
      <w:pPr>
        <w:spacing w:after="0" w:line="240" w:lineRule="auto"/>
        <w:jc w:val="both"/>
        <w:textAlignment w:val="baseline"/>
        <w:rPr>
          <w:rFonts w:ascii="Minion Pro" w:eastAsia="Times New Roman" w:hAnsi="Minion Pro" w:cs="Times New Roman"/>
          <w:color w:val="000000"/>
          <w:sz w:val="24"/>
          <w:szCs w:val="24"/>
          <w:lang w:eastAsia="hr-HR"/>
        </w:rPr>
      </w:pPr>
      <w:r w:rsidRPr="002E621E">
        <w:rPr>
          <w:rFonts w:ascii="Minion Pro" w:eastAsia="Times New Roman" w:hAnsi="Minion Pro" w:cs="Times New Roman"/>
          <w:i/>
          <w:iCs/>
          <w:color w:val="000000"/>
          <w:sz w:val="24"/>
          <w:szCs w:val="24"/>
          <w:bdr w:val="none" w:sz="0" w:space="0" w:color="auto" w:frame="1"/>
          <w:lang w:eastAsia="hr-HR"/>
        </w:rPr>
        <w:t>5. Godišnje osnovice za obveze po osnovi obavljanja druge djelatnosti</w:t>
      </w:r>
    </w:p>
    <w:p w:rsidR="002E621E" w:rsidRPr="002E621E" w:rsidRDefault="002E621E" w:rsidP="002E621E">
      <w:pPr>
        <w:spacing w:after="225" w:line="240" w:lineRule="auto"/>
        <w:jc w:val="center"/>
        <w:textAlignment w:val="baseline"/>
        <w:rPr>
          <w:rFonts w:ascii="Minion Pro" w:eastAsia="Times New Roman" w:hAnsi="Minion Pro" w:cs="Times New Roman"/>
          <w:color w:val="000000"/>
          <w:sz w:val="24"/>
          <w:szCs w:val="24"/>
          <w:lang w:eastAsia="hr-HR"/>
        </w:rPr>
      </w:pPr>
      <w:r w:rsidRPr="002E621E">
        <w:rPr>
          <w:rFonts w:ascii="Minion Pro" w:eastAsia="Times New Roman" w:hAnsi="Minion Pro" w:cs="Times New Roman"/>
          <w:color w:val="000000"/>
          <w:sz w:val="24"/>
          <w:szCs w:val="24"/>
          <w:lang w:eastAsia="hr-HR"/>
        </w:rPr>
        <w:t>Članak 11.</w:t>
      </w:r>
    </w:p>
    <w:p w:rsidR="002E621E" w:rsidRPr="002E621E" w:rsidRDefault="002E621E" w:rsidP="002E621E">
      <w:pPr>
        <w:spacing w:after="225" w:line="240" w:lineRule="auto"/>
        <w:jc w:val="both"/>
        <w:textAlignment w:val="baseline"/>
        <w:rPr>
          <w:rFonts w:ascii="Minion Pro" w:eastAsia="Times New Roman" w:hAnsi="Minion Pro" w:cs="Times New Roman"/>
          <w:color w:val="000000"/>
          <w:sz w:val="24"/>
          <w:szCs w:val="24"/>
          <w:lang w:eastAsia="hr-HR"/>
        </w:rPr>
      </w:pPr>
      <w:r w:rsidRPr="002E621E">
        <w:rPr>
          <w:rFonts w:ascii="Minion Pro" w:eastAsia="Times New Roman" w:hAnsi="Minion Pro" w:cs="Times New Roman"/>
          <w:color w:val="000000"/>
          <w:sz w:val="24"/>
          <w:szCs w:val="24"/>
          <w:lang w:eastAsia="hr-HR"/>
        </w:rPr>
        <w:t>Najviša godišnja osnovica za obveznika po osnovi obavljanja druge djelatnosti od koje utvrđuje dohodak od samostalne djelatnosti sukladno članku 185. stavak 1. Zakona, umnožak je iznosa prosječne plaće i koeficijenta 0,65 i brojke 12 te iznosi 61.939,80 kuna, prema članku 186. stavku 1. Zakona.</w:t>
      </w:r>
    </w:p>
    <w:p w:rsidR="002E621E" w:rsidRPr="002E621E" w:rsidRDefault="002E621E" w:rsidP="002E621E">
      <w:pPr>
        <w:spacing w:after="225" w:line="240" w:lineRule="auto"/>
        <w:jc w:val="center"/>
        <w:textAlignment w:val="baseline"/>
        <w:rPr>
          <w:rFonts w:ascii="Minion Pro" w:eastAsia="Times New Roman" w:hAnsi="Minion Pro" w:cs="Times New Roman"/>
          <w:color w:val="000000"/>
          <w:sz w:val="24"/>
          <w:szCs w:val="24"/>
          <w:lang w:eastAsia="hr-HR"/>
        </w:rPr>
      </w:pPr>
      <w:r w:rsidRPr="002E621E">
        <w:rPr>
          <w:rFonts w:ascii="Minion Pro" w:eastAsia="Times New Roman" w:hAnsi="Minion Pro" w:cs="Times New Roman"/>
          <w:color w:val="000000"/>
          <w:sz w:val="24"/>
          <w:szCs w:val="24"/>
          <w:lang w:eastAsia="hr-HR"/>
        </w:rPr>
        <w:t>Članak 12.</w:t>
      </w:r>
    </w:p>
    <w:p w:rsidR="002E621E" w:rsidRPr="002E621E" w:rsidRDefault="002E621E" w:rsidP="002E621E">
      <w:pPr>
        <w:spacing w:after="225" w:line="240" w:lineRule="auto"/>
        <w:jc w:val="both"/>
        <w:textAlignment w:val="baseline"/>
        <w:rPr>
          <w:rFonts w:ascii="Minion Pro" w:eastAsia="Times New Roman" w:hAnsi="Minion Pro" w:cs="Times New Roman"/>
          <w:color w:val="000000"/>
          <w:sz w:val="24"/>
          <w:szCs w:val="24"/>
          <w:lang w:eastAsia="hr-HR"/>
        </w:rPr>
      </w:pPr>
      <w:r w:rsidRPr="002E621E">
        <w:rPr>
          <w:rFonts w:ascii="Minion Pro" w:eastAsia="Times New Roman" w:hAnsi="Minion Pro" w:cs="Times New Roman"/>
          <w:color w:val="000000"/>
          <w:sz w:val="24"/>
          <w:szCs w:val="24"/>
          <w:lang w:eastAsia="hr-HR"/>
        </w:rPr>
        <w:t>Najviša godišnja osnovica za obveznika po osnovi obavljanja druge djelatnosti od koje utvrđuje dobit sukladno članku 185. stavak 2. Zakona, umnožak je iznosa prosječne plaće i koeficijenta 0,65 i brojke 12 te iznosi 61.939,80 kuna, prema članku 186. stavak 1. Zakona.</w:t>
      </w:r>
    </w:p>
    <w:p w:rsidR="002E621E" w:rsidRPr="002E621E" w:rsidRDefault="002E621E" w:rsidP="002E621E">
      <w:pPr>
        <w:spacing w:after="225" w:line="240" w:lineRule="auto"/>
        <w:jc w:val="center"/>
        <w:textAlignment w:val="baseline"/>
        <w:rPr>
          <w:rFonts w:ascii="Minion Pro" w:eastAsia="Times New Roman" w:hAnsi="Minion Pro" w:cs="Times New Roman"/>
          <w:color w:val="000000"/>
          <w:sz w:val="24"/>
          <w:szCs w:val="24"/>
          <w:lang w:eastAsia="hr-HR"/>
        </w:rPr>
      </w:pPr>
      <w:r w:rsidRPr="002E621E">
        <w:rPr>
          <w:rFonts w:ascii="Minion Pro" w:eastAsia="Times New Roman" w:hAnsi="Minion Pro" w:cs="Times New Roman"/>
          <w:color w:val="000000"/>
          <w:sz w:val="24"/>
          <w:szCs w:val="24"/>
          <w:lang w:eastAsia="hr-HR"/>
        </w:rPr>
        <w:t>Članak 13.</w:t>
      </w:r>
    </w:p>
    <w:p w:rsidR="002E621E" w:rsidRPr="002E621E" w:rsidRDefault="002E621E" w:rsidP="002E621E">
      <w:pPr>
        <w:spacing w:after="225" w:line="240" w:lineRule="auto"/>
        <w:jc w:val="both"/>
        <w:textAlignment w:val="baseline"/>
        <w:rPr>
          <w:rFonts w:ascii="Minion Pro" w:eastAsia="Times New Roman" w:hAnsi="Minion Pro" w:cs="Times New Roman"/>
          <w:color w:val="000000"/>
          <w:sz w:val="24"/>
          <w:szCs w:val="24"/>
          <w:lang w:eastAsia="hr-HR"/>
        </w:rPr>
      </w:pPr>
      <w:r w:rsidRPr="002E621E">
        <w:rPr>
          <w:rFonts w:ascii="Minion Pro" w:eastAsia="Times New Roman" w:hAnsi="Minion Pro" w:cs="Times New Roman"/>
          <w:color w:val="000000"/>
          <w:sz w:val="24"/>
          <w:szCs w:val="24"/>
          <w:lang w:eastAsia="hr-HR"/>
        </w:rPr>
        <w:t>Godišnja osnovica za obveznika po osnovi obavljanja samostalne djelatnosti obrta i/ili poljoprivrede kao druge djelatnosti od koje porez na dohodak plaća u paušalnom iznosu, sukladno članku 185. stavak 3. Zakona, iznos je paušalnog dohotka propisanog Pravilnikom o paušalnom oporezivanju samostalnih djelatnosti (»Narodne novine«, broj 143/06 i 61/12) te iznosi:</w:t>
      </w:r>
    </w:p>
    <w:p w:rsidR="002E621E" w:rsidRPr="002E621E" w:rsidRDefault="002E621E" w:rsidP="002E621E">
      <w:pPr>
        <w:spacing w:after="225" w:line="240" w:lineRule="auto"/>
        <w:jc w:val="both"/>
        <w:textAlignment w:val="baseline"/>
        <w:rPr>
          <w:rFonts w:ascii="Minion Pro" w:eastAsia="Times New Roman" w:hAnsi="Minion Pro" w:cs="Times New Roman"/>
          <w:color w:val="000000"/>
          <w:sz w:val="24"/>
          <w:szCs w:val="24"/>
          <w:lang w:eastAsia="hr-HR"/>
        </w:rPr>
      </w:pPr>
      <w:r w:rsidRPr="002E621E">
        <w:rPr>
          <w:rFonts w:ascii="Minion Pro" w:eastAsia="Times New Roman" w:hAnsi="Minion Pro" w:cs="Times New Roman"/>
          <w:color w:val="000000"/>
          <w:sz w:val="24"/>
          <w:szCs w:val="24"/>
          <w:lang w:eastAsia="hr-HR"/>
        </w:rPr>
        <w:t>1. 12.750,00 kuna za poreznog obveznika koji je u poreznom razdoblju ostvario ukupni godišnji primitak do 85.000,00 kuna,</w:t>
      </w:r>
    </w:p>
    <w:p w:rsidR="002E621E" w:rsidRPr="002E621E" w:rsidRDefault="002E621E" w:rsidP="002E621E">
      <w:pPr>
        <w:spacing w:after="225" w:line="240" w:lineRule="auto"/>
        <w:jc w:val="both"/>
        <w:textAlignment w:val="baseline"/>
        <w:rPr>
          <w:rFonts w:ascii="Minion Pro" w:eastAsia="Times New Roman" w:hAnsi="Minion Pro" w:cs="Times New Roman"/>
          <w:color w:val="000000"/>
          <w:sz w:val="24"/>
          <w:szCs w:val="24"/>
          <w:lang w:eastAsia="hr-HR"/>
        </w:rPr>
      </w:pPr>
      <w:r w:rsidRPr="002E621E">
        <w:rPr>
          <w:rFonts w:ascii="Minion Pro" w:eastAsia="Times New Roman" w:hAnsi="Minion Pro" w:cs="Times New Roman"/>
          <w:color w:val="000000"/>
          <w:sz w:val="24"/>
          <w:szCs w:val="24"/>
          <w:lang w:eastAsia="hr-HR"/>
        </w:rPr>
        <w:t>2. 17.250,00 kuna za poreznog obveznika koji je u poreznom razdoblju ostvario ukupni godišnji primitak iznad 85.000,00 kuna do 115.000,00 kuna,</w:t>
      </w:r>
    </w:p>
    <w:p w:rsidR="002E621E" w:rsidRPr="002E621E" w:rsidRDefault="002E621E" w:rsidP="002E621E">
      <w:pPr>
        <w:spacing w:after="225" w:line="240" w:lineRule="auto"/>
        <w:jc w:val="both"/>
        <w:textAlignment w:val="baseline"/>
        <w:rPr>
          <w:rFonts w:ascii="Minion Pro" w:eastAsia="Times New Roman" w:hAnsi="Minion Pro" w:cs="Times New Roman"/>
          <w:color w:val="000000"/>
          <w:sz w:val="24"/>
          <w:szCs w:val="24"/>
          <w:lang w:eastAsia="hr-HR"/>
        </w:rPr>
      </w:pPr>
      <w:r w:rsidRPr="002E621E">
        <w:rPr>
          <w:rFonts w:ascii="Minion Pro" w:eastAsia="Times New Roman" w:hAnsi="Minion Pro" w:cs="Times New Roman"/>
          <w:color w:val="000000"/>
          <w:sz w:val="24"/>
          <w:szCs w:val="24"/>
          <w:lang w:eastAsia="hr-HR"/>
        </w:rPr>
        <w:t>3. 22.425,00 kuna za poreznog obveznika koji je u poreznom razdoblju ostvario ukupni godišnji primitak iznad 115.000,00 kuna do 149.500,00 kuna.</w:t>
      </w:r>
    </w:p>
    <w:p w:rsidR="002E621E" w:rsidRPr="002E621E" w:rsidRDefault="002E621E" w:rsidP="002E621E">
      <w:pPr>
        <w:spacing w:after="225" w:line="240" w:lineRule="auto"/>
        <w:jc w:val="center"/>
        <w:textAlignment w:val="baseline"/>
        <w:rPr>
          <w:rFonts w:ascii="Minion Pro" w:eastAsia="Times New Roman" w:hAnsi="Minion Pro" w:cs="Times New Roman"/>
          <w:color w:val="000000"/>
          <w:sz w:val="24"/>
          <w:szCs w:val="24"/>
          <w:lang w:eastAsia="hr-HR"/>
        </w:rPr>
      </w:pPr>
      <w:r w:rsidRPr="002E621E">
        <w:rPr>
          <w:rFonts w:ascii="Minion Pro" w:eastAsia="Times New Roman" w:hAnsi="Minion Pro" w:cs="Times New Roman"/>
          <w:color w:val="000000"/>
          <w:sz w:val="24"/>
          <w:szCs w:val="24"/>
          <w:lang w:eastAsia="hr-HR"/>
        </w:rPr>
        <w:t>Članak 14.</w:t>
      </w:r>
    </w:p>
    <w:p w:rsidR="002E621E" w:rsidRPr="002E621E" w:rsidRDefault="002E621E" w:rsidP="002E621E">
      <w:pPr>
        <w:spacing w:after="225" w:line="240" w:lineRule="auto"/>
        <w:jc w:val="both"/>
        <w:textAlignment w:val="baseline"/>
        <w:rPr>
          <w:rFonts w:ascii="Minion Pro" w:eastAsia="Times New Roman" w:hAnsi="Minion Pro" w:cs="Times New Roman"/>
          <w:color w:val="000000"/>
          <w:sz w:val="24"/>
          <w:szCs w:val="24"/>
          <w:lang w:eastAsia="hr-HR"/>
        </w:rPr>
      </w:pPr>
      <w:r w:rsidRPr="002E621E">
        <w:rPr>
          <w:rFonts w:ascii="Minion Pro" w:eastAsia="Times New Roman" w:hAnsi="Minion Pro" w:cs="Times New Roman"/>
          <w:color w:val="000000"/>
          <w:sz w:val="24"/>
          <w:szCs w:val="24"/>
          <w:lang w:eastAsia="hr-HR"/>
        </w:rPr>
        <w:t>Najviša godišnja osnovica za obveznika koji drugu djelatnost obavlja kao samozaposlena osoba u drugoj državi članici sukladno članku 185. stavak 4. Zakona, umnožak je iznosa prosječne plaće i koeficijenta 0,65 i brojke 12 te iznosi 61.939,80 kuna, prema članku 186. stavak 1. Zakona.</w:t>
      </w:r>
    </w:p>
    <w:p w:rsidR="002E621E" w:rsidRPr="002E621E" w:rsidRDefault="002E621E" w:rsidP="002E621E">
      <w:pPr>
        <w:spacing w:after="225" w:line="240" w:lineRule="auto"/>
        <w:jc w:val="center"/>
        <w:textAlignment w:val="baseline"/>
        <w:rPr>
          <w:rFonts w:ascii="Minion Pro" w:eastAsia="Times New Roman" w:hAnsi="Minion Pro" w:cs="Times New Roman"/>
          <w:color w:val="000000"/>
          <w:sz w:val="28"/>
          <w:szCs w:val="28"/>
          <w:lang w:eastAsia="hr-HR"/>
        </w:rPr>
      </w:pPr>
      <w:r w:rsidRPr="002E621E">
        <w:rPr>
          <w:rFonts w:ascii="Minion Pro" w:eastAsia="Times New Roman" w:hAnsi="Minion Pro" w:cs="Times New Roman"/>
          <w:color w:val="000000"/>
          <w:sz w:val="28"/>
          <w:szCs w:val="28"/>
          <w:lang w:eastAsia="hr-HR"/>
        </w:rPr>
        <w:t>III. POSEBNE OSNOVICE</w:t>
      </w:r>
    </w:p>
    <w:p w:rsidR="002E621E" w:rsidRPr="002E621E" w:rsidRDefault="002E621E" w:rsidP="002E621E">
      <w:pPr>
        <w:spacing w:after="225" w:line="240" w:lineRule="auto"/>
        <w:jc w:val="center"/>
        <w:textAlignment w:val="baseline"/>
        <w:rPr>
          <w:rFonts w:ascii="Minion Pro" w:eastAsia="Times New Roman" w:hAnsi="Minion Pro" w:cs="Times New Roman"/>
          <w:color w:val="000000"/>
          <w:sz w:val="24"/>
          <w:szCs w:val="24"/>
          <w:lang w:eastAsia="hr-HR"/>
        </w:rPr>
      </w:pPr>
      <w:r w:rsidRPr="002E621E">
        <w:rPr>
          <w:rFonts w:ascii="Minion Pro" w:eastAsia="Times New Roman" w:hAnsi="Minion Pro" w:cs="Times New Roman"/>
          <w:color w:val="000000"/>
          <w:sz w:val="24"/>
          <w:szCs w:val="24"/>
          <w:lang w:eastAsia="hr-HR"/>
        </w:rPr>
        <w:t>Članak 15.</w:t>
      </w:r>
    </w:p>
    <w:p w:rsidR="002E621E" w:rsidRPr="002E621E" w:rsidRDefault="002E621E" w:rsidP="002E621E">
      <w:pPr>
        <w:spacing w:after="225" w:line="240" w:lineRule="auto"/>
        <w:jc w:val="both"/>
        <w:textAlignment w:val="baseline"/>
        <w:rPr>
          <w:rFonts w:ascii="Minion Pro" w:eastAsia="Times New Roman" w:hAnsi="Minion Pro" w:cs="Times New Roman"/>
          <w:color w:val="000000"/>
          <w:sz w:val="24"/>
          <w:szCs w:val="24"/>
          <w:lang w:eastAsia="hr-HR"/>
        </w:rPr>
      </w:pPr>
      <w:r w:rsidRPr="002E621E">
        <w:rPr>
          <w:rFonts w:ascii="Minion Pro" w:eastAsia="Times New Roman" w:hAnsi="Minion Pro" w:cs="Times New Roman"/>
          <w:color w:val="000000"/>
          <w:sz w:val="24"/>
          <w:szCs w:val="24"/>
          <w:lang w:eastAsia="hr-HR"/>
        </w:rPr>
        <w:t>(1) Mjesečna osnovica do iznosa prosječne neto plaće, prema članku 134.c stavak 1. Zakona, zbrojeni je iznos mjesečnih mirovina koje se isplaćuju svim korisnicima mirovine čiji je pojedinačni mjesečni iznos mirovine do iznosa prosječne neto plaće, uključujući i iznos prosječne neto plaće, odnosno 5.507,00 kuna.</w:t>
      </w:r>
    </w:p>
    <w:p w:rsidR="002E621E" w:rsidRPr="002E621E" w:rsidRDefault="002E621E" w:rsidP="002E621E">
      <w:pPr>
        <w:spacing w:after="225" w:line="240" w:lineRule="auto"/>
        <w:jc w:val="both"/>
        <w:textAlignment w:val="baseline"/>
        <w:rPr>
          <w:rFonts w:ascii="Minion Pro" w:eastAsia="Times New Roman" w:hAnsi="Minion Pro" w:cs="Times New Roman"/>
          <w:color w:val="000000"/>
          <w:sz w:val="24"/>
          <w:szCs w:val="24"/>
          <w:lang w:eastAsia="hr-HR"/>
        </w:rPr>
      </w:pPr>
      <w:r w:rsidRPr="002E621E">
        <w:rPr>
          <w:rFonts w:ascii="Minion Pro" w:eastAsia="Times New Roman" w:hAnsi="Minion Pro" w:cs="Times New Roman"/>
          <w:color w:val="000000"/>
          <w:sz w:val="24"/>
          <w:szCs w:val="24"/>
          <w:lang w:eastAsia="hr-HR"/>
        </w:rPr>
        <w:t>(2) Mjesečna osnovica iznad iznosa prosječne neto plaće, prema članku 134.c stavak 2. Zakona, mjesečni je iznos mirovine pojedinog korisnika mirovine čiji je mjesečni iznos mirovine iznad iznosa 5.507,00 kuna.</w:t>
      </w:r>
    </w:p>
    <w:p w:rsidR="002E621E" w:rsidRPr="002E621E" w:rsidRDefault="002E621E" w:rsidP="002E621E">
      <w:pPr>
        <w:spacing w:after="225" w:line="240" w:lineRule="auto"/>
        <w:jc w:val="both"/>
        <w:textAlignment w:val="baseline"/>
        <w:rPr>
          <w:rFonts w:ascii="Minion Pro" w:eastAsia="Times New Roman" w:hAnsi="Minion Pro" w:cs="Times New Roman"/>
          <w:color w:val="000000"/>
          <w:sz w:val="24"/>
          <w:szCs w:val="24"/>
          <w:lang w:eastAsia="hr-HR"/>
        </w:rPr>
      </w:pPr>
      <w:r w:rsidRPr="002E621E">
        <w:rPr>
          <w:rFonts w:ascii="Minion Pro" w:eastAsia="Times New Roman" w:hAnsi="Minion Pro" w:cs="Times New Roman"/>
          <w:color w:val="000000"/>
          <w:sz w:val="24"/>
          <w:szCs w:val="24"/>
          <w:lang w:eastAsia="hr-HR"/>
        </w:rPr>
        <w:lastRenderedPageBreak/>
        <w:t>(3) Dnevna osnovica za obračun doprinosa sezonskim radnicima u poljoprivredi prema članku 9. stavak 3. Zakona o poticanju zapošljavanja je umnožak iznosa prosječne plaće i koeficijenta 0,35 podijeljen brojkom 30 te iznosi 92,65 kuna.</w:t>
      </w:r>
    </w:p>
    <w:p w:rsidR="002E621E" w:rsidRPr="002E621E" w:rsidRDefault="002E621E" w:rsidP="002E621E">
      <w:pPr>
        <w:spacing w:after="225" w:line="240" w:lineRule="auto"/>
        <w:jc w:val="center"/>
        <w:textAlignment w:val="baseline"/>
        <w:rPr>
          <w:rFonts w:ascii="Minion Pro" w:eastAsia="Times New Roman" w:hAnsi="Minion Pro" w:cs="Times New Roman"/>
          <w:color w:val="000000"/>
          <w:sz w:val="24"/>
          <w:szCs w:val="24"/>
          <w:lang w:eastAsia="hr-HR"/>
        </w:rPr>
      </w:pPr>
      <w:r w:rsidRPr="002E621E">
        <w:rPr>
          <w:rFonts w:ascii="Minion Pro" w:eastAsia="Times New Roman" w:hAnsi="Minion Pro" w:cs="Times New Roman"/>
          <w:color w:val="000000"/>
          <w:sz w:val="24"/>
          <w:szCs w:val="24"/>
          <w:lang w:eastAsia="hr-HR"/>
        </w:rPr>
        <w:t>Članak 16.</w:t>
      </w:r>
    </w:p>
    <w:p w:rsidR="002E621E" w:rsidRPr="002E621E" w:rsidRDefault="002E621E" w:rsidP="002E621E">
      <w:pPr>
        <w:spacing w:after="225" w:line="240" w:lineRule="auto"/>
        <w:jc w:val="both"/>
        <w:textAlignment w:val="baseline"/>
        <w:rPr>
          <w:rFonts w:ascii="Minion Pro" w:eastAsia="Times New Roman" w:hAnsi="Minion Pro" w:cs="Times New Roman"/>
          <w:color w:val="000000"/>
          <w:sz w:val="24"/>
          <w:szCs w:val="24"/>
          <w:lang w:eastAsia="hr-HR"/>
        </w:rPr>
      </w:pPr>
      <w:r w:rsidRPr="002E621E">
        <w:rPr>
          <w:rFonts w:ascii="Minion Pro" w:eastAsia="Times New Roman" w:hAnsi="Minion Pro" w:cs="Times New Roman"/>
          <w:color w:val="000000"/>
          <w:sz w:val="24"/>
          <w:szCs w:val="24"/>
          <w:lang w:eastAsia="hr-HR"/>
        </w:rPr>
        <w:t>Mjesečna osnovica, prema članku 134.g Zakona, umnožak je broja nezaposlenih osoba prema službenim podacima obveznika obračunavanja sa stanjem na zadnji dan u mjesecu za koji se utvrđuje obveza s iznosom najniže mjesečne osnovice za godinu na koju se odnosi obveza odnosno, za 2014. godinu s iznosom od 2.779,35 kuna.</w:t>
      </w:r>
    </w:p>
    <w:p w:rsidR="002E621E" w:rsidRPr="002E621E" w:rsidRDefault="002E621E" w:rsidP="002E621E">
      <w:pPr>
        <w:spacing w:after="225" w:line="240" w:lineRule="auto"/>
        <w:jc w:val="center"/>
        <w:textAlignment w:val="baseline"/>
        <w:rPr>
          <w:rFonts w:ascii="Minion Pro" w:eastAsia="Times New Roman" w:hAnsi="Minion Pro" w:cs="Times New Roman"/>
          <w:color w:val="000000"/>
          <w:sz w:val="24"/>
          <w:szCs w:val="24"/>
          <w:lang w:eastAsia="hr-HR"/>
        </w:rPr>
      </w:pPr>
      <w:r w:rsidRPr="002E621E">
        <w:rPr>
          <w:rFonts w:ascii="Minion Pro" w:eastAsia="Times New Roman" w:hAnsi="Minion Pro" w:cs="Times New Roman"/>
          <w:color w:val="000000"/>
          <w:sz w:val="24"/>
          <w:szCs w:val="24"/>
          <w:lang w:eastAsia="hr-HR"/>
        </w:rPr>
        <w:t>Članak 17.</w:t>
      </w:r>
    </w:p>
    <w:p w:rsidR="002E621E" w:rsidRPr="002E621E" w:rsidRDefault="002E621E" w:rsidP="002E621E">
      <w:pPr>
        <w:spacing w:after="225" w:line="240" w:lineRule="auto"/>
        <w:jc w:val="both"/>
        <w:textAlignment w:val="baseline"/>
        <w:rPr>
          <w:rFonts w:ascii="Minion Pro" w:eastAsia="Times New Roman" w:hAnsi="Minion Pro" w:cs="Times New Roman"/>
          <w:color w:val="000000"/>
          <w:sz w:val="24"/>
          <w:szCs w:val="24"/>
          <w:lang w:eastAsia="hr-HR"/>
        </w:rPr>
      </w:pPr>
      <w:r w:rsidRPr="002E621E">
        <w:rPr>
          <w:rFonts w:ascii="Minion Pro" w:eastAsia="Times New Roman" w:hAnsi="Minion Pro" w:cs="Times New Roman"/>
          <w:color w:val="000000"/>
          <w:sz w:val="24"/>
          <w:szCs w:val="24"/>
          <w:lang w:eastAsia="hr-HR"/>
        </w:rPr>
        <w:t>Mjesečna osnovica, prema članku 134.k Zakona, umnožak je broja osoba kojima je oduzeta sloboda prema službenim podacima obveznika obračunavanja sa stanjem na zadnji dan u mjesecu s iznosom najniže mjesečne osnovice za godinu na koju se obveza odnosi, za 2014. godinu s iznosom od 2.779,35 kuna.</w:t>
      </w:r>
    </w:p>
    <w:p w:rsidR="002E621E" w:rsidRPr="002E621E" w:rsidRDefault="002E621E" w:rsidP="002E621E">
      <w:pPr>
        <w:spacing w:after="225" w:line="240" w:lineRule="auto"/>
        <w:jc w:val="center"/>
        <w:textAlignment w:val="baseline"/>
        <w:rPr>
          <w:rFonts w:ascii="Minion Pro" w:eastAsia="Times New Roman" w:hAnsi="Minion Pro" w:cs="Times New Roman"/>
          <w:color w:val="000000"/>
          <w:sz w:val="28"/>
          <w:szCs w:val="28"/>
          <w:lang w:eastAsia="hr-HR"/>
        </w:rPr>
      </w:pPr>
      <w:r w:rsidRPr="002E621E">
        <w:rPr>
          <w:rFonts w:ascii="Minion Pro" w:eastAsia="Times New Roman" w:hAnsi="Minion Pro" w:cs="Times New Roman"/>
          <w:color w:val="000000"/>
          <w:sz w:val="28"/>
          <w:szCs w:val="28"/>
          <w:lang w:eastAsia="hr-HR"/>
        </w:rPr>
        <w:t>IV. ZAVRŠNE ODREDBE</w:t>
      </w:r>
    </w:p>
    <w:p w:rsidR="002E621E" w:rsidRPr="002E621E" w:rsidRDefault="002E621E" w:rsidP="002E621E">
      <w:pPr>
        <w:spacing w:after="225" w:line="240" w:lineRule="auto"/>
        <w:jc w:val="center"/>
        <w:textAlignment w:val="baseline"/>
        <w:rPr>
          <w:rFonts w:ascii="Minion Pro" w:eastAsia="Times New Roman" w:hAnsi="Minion Pro" w:cs="Times New Roman"/>
          <w:color w:val="000000"/>
          <w:sz w:val="24"/>
          <w:szCs w:val="24"/>
          <w:lang w:eastAsia="hr-HR"/>
        </w:rPr>
      </w:pPr>
      <w:r w:rsidRPr="002E621E">
        <w:rPr>
          <w:rFonts w:ascii="Minion Pro" w:eastAsia="Times New Roman" w:hAnsi="Minion Pro" w:cs="Times New Roman"/>
          <w:color w:val="000000"/>
          <w:sz w:val="24"/>
          <w:szCs w:val="24"/>
          <w:lang w:eastAsia="hr-HR"/>
        </w:rPr>
        <w:t>Članak 18.</w:t>
      </w:r>
    </w:p>
    <w:p w:rsidR="002E621E" w:rsidRPr="002E621E" w:rsidRDefault="002E621E" w:rsidP="002E621E">
      <w:pPr>
        <w:spacing w:after="225" w:line="240" w:lineRule="auto"/>
        <w:jc w:val="both"/>
        <w:textAlignment w:val="baseline"/>
        <w:rPr>
          <w:rFonts w:ascii="Minion Pro" w:eastAsia="Times New Roman" w:hAnsi="Minion Pro" w:cs="Times New Roman"/>
          <w:color w:val="000000"/>
          <w:sz w:val="24"/>
          <w:szCs w:val="24"/>
          <w:lang w:eastAsia="hr-HR"/>
        </w:rPr>
      </w:pPr>
      <w:r w:rsidRPr="002E621E">
        <w:rPr>
          <w:rFonts w:ascii="Minion Pro" w:eastAsia="Times New Roman" w:hAnsi="Minion Pro" w:cs="Times New Roman"/>
          <w:color w:val="000000"/>
          <w:sz w:val="24"/>
          <w:szCs w:val="24"/>
          <w:lang w:eastAsia="hr-HR"/>
        </w:rPr>
        <w:t>Iznosi osnovica propisani ovom Naredbom primjenjuju se za obračun doprinosa za staž mirovinskog osiguranja i za ostala prava iz obveznih osiguranja koji započinje s primicima i s obvezom doprinosa za siječanj 2014. i završava s primicima i s obvezom doprinosa za prosinac 2014.</w:t>
      </w:r>
    </w:p>
    <w:p w:rsidR="002E621E" w:rsidRPr="002E621E" w:rsidRDefault="002E621E" w:rsidP="002E621E">
      <w:pPr>
        <w:spacing w:after="225" w:line="240" w:lineRule="auto"/>
        <w:jc w:val="center"/>
        <w:textAlignment w:val="baseline"/>
        <w:rPr>
          <w:rFonts w:ascii="Minion Pro" w:eastAsia="Times New Roman" w:hAnsi="Minion Pro" w:cs="Times New Roman"/>
          <w:color w:val="000000"/>
          <w:sz w:val="24"/>
          <w:szCs w:val="24"/>
          <w:lang w:eastAsia="hr-HR"/>
        </w:rPr>
      </w:pPr>
      <w:r w:rsidRPr="002E621E">
        <w:rPr>
          <w:rFonts w:ascii="Minion Pro" w:eastAsia="Times New Roman" w:hAnsi="Minion Pro" w:cs="Times New Roman"/>
          <w:color w:val="000000"/>
          <w:sz w:val="24"/>
          <w:szCs w:val="24"/>
          <w:lang w:eastAsia="hr-HR"/>
        </w:rPr>
        <w:t>Članak 19.</w:t>
      </w:r>
    </w:p>
    <w:p w:rsidR="002E621E" w:rsidRPr="002E621E" w:rsidRDefault="002E621E" w:rsidP="002E621E">
      <w:pPr>
        <w:spacing w:after="225" w:line="240" w:lineRule="auto"/>
        <w:jc w:val="both"/>
        <w:textAlignment w:val="baseline"/>
        <w:rPr>
          <w:rFonts w:ascii="Minion Pro" w:eastAsia="Times New Roman" w:hAnsi="Minion Pro" w:cs="Times New Roman"/>
          <w:color w:val="000000"/>
          <w:sz w:val="24"/>
          <w:szCs w:val="24"/>
          <w:lang w:eastAsia="hr-HR"/>
        </w:rPr>
      </w:pPr>
      <w:r w:rsidRPr="002E621E">
        <w:rPr>
          <w:rFonts w:ascii="Minion Pro" w:eastAsia="Times New Roman" w:hAnsi="Minion Pro" w:cs="Times New Roman"/>
          <w:color w:val="000000"/>
          <w:sz w:val="24"/>
          <w:szCs w:val="24"/>
          <w:lang w:eastAsia="hr-HR"/>
        </w:rPr>
        <w:t>Ova Naredba stupa na snagu danom objave u »Narodnim novinama«.</w:t>
      </w:r>
    </w:p>
    <w:p w:rsidR="002E621E" w:rsidRPr="002E621E" w:rsidRDefault="002E621E" w:rsidP="002E621E">
      <w:pPr>
        <w:spacing w:after="225" w:line="240" w:lineRule="auto"/>
        <w:jc w:val="both"/>
        <w:textAlignment w:val="baseline"/>
        <w:rPr>
          <w:rFonts w:ascii="Minion Pro" w:eastAsia="Times New Roman" w:hAnsi="Minion Pro" w:cs="Times New Roman"/>
          <w:color w:val="000000"/>
          <w:sz w:val="24"/>
          <w:szCs w:val="24"/>
          <w:lang w:eastAsia="hr-HR"/>
        </w:rPr>
      </w:pPr>
      <w:r w:rsidRPr="002E621E">
        <w:rPr>
          <w:rFonts w:ascii="Minion Pro" w:eastAsia="Times New Roman" w:hAnsi="Minion Pro" w:cs="Times New Roman"/>
          <w:color w:val="000000"/>
          <w:sz w:val="24"/>
          <w:szCs w:val="24"/>
          <w:lang w:eastAsia="hr-HR"/>
        </w:rPr>
        <w:t>Klasa: 410-01/13-01/4052</w:t>
      </w:r>
    </w:p>
    <w:p w:rsidR="002E621E" w:rsidRPr="002E621E" w:rsidRDefault="002E621E" w:rsidP="002E621E">
      <w:pPr>
        <w:spacing w:after="225" w:line="240" w:lineRule="auto"/>
        <w:jc w:val="both"/>
        <w:textAlignment w:val="baseline"/>
        <w:rPr>
          <w:rFonts w:ascii="Minion Pro" w:eastAsia="Times New Roman" w:hAnsi="Minion Pro" w:cs="Times New Roman"/>
          <w:color w:val="000000"/>
          <w:sz w:val="24"/>
          <w:szCs w:val="24"/>
          <w:lang w:eastAsia="hr-HR"/>
        </w:rPr>
      </w:pPr>
      <w:r w:rsidRPr="002E621E">
        <w:rPr>
          <w:rFonts w:ascii="Minion Pro" w:eastAsia="Times New Roman" w:hAnsi="Minion Pro" w:cs="Times New Roman"/>
          <w:color w:val="000000"/>
          <w:sz w:val="24"/>
          <w:szCs w:val="24"/>
          <w:lang w:eastAsia="hr-HR"/>
        </w:rPr>
        <w:t>Urbroj: 513-07-21-01/13-1</w:t>
      </w:r>
    </w:p>
    <w:p w:rsidR="002E621E" w:rsidRPr="002E621E" w:rsidRDefault="002E621E" w:rsidP="002E621E">
      <w:pPr>
        <w:spacing w:after="225" w:line="240" w:lineRule="auto"/>
        <w:jc w:val="both"/>
        <w:textAlignment w:val="baseline"/>
        <w:rPr>
          <w:rFonts w:ascii="Minion Pro" w:eastAsia="Times New Roman" w:hAnsi="Minion Pro" w:cs="Times New Roman"/>
          <w:color w:val="000000"/>
          <w:sz w:val="24"/>
          <w:szCs w:val="24"/>
          <w:lang w:eastAsia="hr-HR"/>
        </w:rPr>
      </w:pPr>
      <w:r w:rsidRPr="002E621E">
        <w:rPr>
          <w:rFonts w:ascii="Minion Pro" w:eastAsia="Times New Roman" w:hAnsi="Minion Pro" w:cs="Times New Roman"/>
          <w:color w:val="000000"/>
          <w:sz w:val="24"/>
          <w:szCs w:val="24"/>
          <w:lang w:eastAsia="hr-HR"/>
        </w:rPr>
        <w:t>Zagreb, 12. prosinca 2013.</w:t>
      </w:r>
    </w:p>
    <w:p w:rsidR="002E621E" w:rsidRPr="002E621E" w:rsidRDefault="002E621E" w:rsidP="002E621E">
      <w:pPr>
        <w:spacing w:line="240" w:lineRule="auto"/>
        <w:ind w:left="6464"/>
        <w:jc w:val="center"/>
        <w:textAlignment w:val="baseline"/>
        <w:rPr>
          <w:rFonts w:ascii="Minion Pro" w:eastAsia="Times New Roman" w:hAnsi="Minion Pro" w:cs="Times New Roman"/>
          <w:color w:val="000000"/>
          <w:sz w:val="24"/>
          <w:szCs w:val="24"/>
          <w:lang w:eastAsia="hr-HR"/>
        </w:rPr>
      </w:pPr>
      <w:r w:rsidRPr="002E621E">
        <w:rPr>
          <w:rFonts w:ascii="Minion Pro" w:eastAsia="Times New Roman" w:hAnsi="Minion Pro" w:cs="Times New Roman"/>
          <w:color w:val="000000"/>
          <w:sz w:val="24"/>
          <w:szCs w:val="24"/>
          <w:lang w:eastAsia="hr-HR"/>
        </w:rPr>
        <w:t>Ministar financija</w:t>
      </w:r>
      <w:r w:rsidRPr="002E621E">
        <w:rPr>
          <w:rFonts w:ascii="Minion Pro" w:eastAsia="Times New Roman" w:hAnsi="Minion Pro" w:cs="Times New Roman"/>
          <w:color w:val="000000"/>
          <w:sz w:val="24"/>
          <w:szCs w:val="24"/>
          <w:lang w:eastAsia="hr-HR"/>
        </w:rPr>
        <w:br/>
      </w:r>
      <w:r w:rsidRPr="002E621E">
        <w:rPr>
          <w:rFonts w:ascii="Minion Pro" w:eastAsia="Times New Roman" w:hAnsi="Minion Pro" w:cs="Times New Roman"/>
          <w:b/>
          <w:bCs/>
          <w:color w:val="000000"/>
          <w:sz w:val="24"/>
          <w:szCs w:val="24"/>
          <w:bdr w:val="none" w:sz="0" w:space="0" w:color="auto" w:frame="1"/>
          <w:lang w:eastAsia="hr-HR"/>
        </w:rPr>
        <w:t>Slavko Linić,</w:t>
      </w:r>
      <w:r w:rsidRPr="002E621E">
        <w:rPr>
          <w:rFonts w:ascii="Minion Pro" w:eastAsia="Times New Roman" w:hAnsi="Minion Pro" w:cs="Times New Roman"/>
          <w:color w:val="000000"/>
          <w:sz w:val="24"/>
          <w:szCs w:val="24"/>
          <w:lang w:eastAsia="hr-HR"/>
        </w:rPr>
        <w:t> v. r.</w:t>
      </w:r>
    </w:p>
    <w:p w:rsidR="008B2DB5" w:rsidRDefault="008B2DB5">
      <w:bookmarkStart w:id="2" w:name="_GoBack"/>
      <w:bookmarkEnd w:id="2"/>
    </w:p>
    <w:sectPr w:rsidR="008B2D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E33"/>
    <w:rsid w:val="002E621E"/>
    <w:rsid w:val="003D2E33"/>
    <w:rsid w:val="008B2DB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8C47C5-3CCA-421B-A424-194C2A3BE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8">
    <w:name w:val="tb-na18"/>
    <w:basedOn w:val="Normal"/>
    <w:rsid w:val="002E621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2E621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2E621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2E621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2E621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2E621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2E621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2E621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2E621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DefaultParagraphFont"/>
    <w:rsid w:val="002E621E"/>
  </w:style>
  <w:style w:type="paragraph" w:customStyle="1" w:styleId="t-9-8-bez-uvl">
    <w:name w:val="t-9-8-bez-uvl"/>
    <w:basedOn w:val="Normal"/>
    <w:rsid w:val="002E621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2E621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2E621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2E6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003036">
      <w:bodyDiv w:val="1"/>
      <w:marLeft w:val="0"/>
      <w:marRight w:val="0"/>
      <w:marTop w:val="0"/>
      <w:marBottom w:val="0"/>
      <w:divBdr>
        <w:top w:val="none" w:sz="0" w:space="0" w:color="auto"/>
        <w:left w:val="none" w:sz="0" w:space="0" w:color="auto"/>
        <w:bottom w:val="none" w:sz="0" w:space="0" w:color="auto"/>
        <w:right w:val="none" w:sz="0" w:space="0" w:color="auto"/>
      </w:divBdr>
      <w:divsChild>
        <w:div w:id="643585577">
          <w:marLeft w:val="0"/>
          <w:marRight w:val="0"/>
          <w:marTop w:val="300"/>
          <w:marBottom w:val="450"/>
          <w:divBdr>
            <w:top w:val="none" w:sz="0" w:space="0" w:color="auto"/>
            <w:left w:val="none" w:sz="0" w:space="0" w:color="auto"/>
            <w:bottom w:val="none" w:sz="0" w:space="0" w:color="auto"/>
            <w:right w:val="none" w:sz="0" w:space="0" w:color="auto"/>
          </w:divBdr>
          <w:divsChild>
            <w:div w:id="1479035496">
              <w:marLeft w:val="0"/>
              <w:marRight w:val="0"/>
              <w:marTop w:val="0"/>
              <w:marBottom w:val="0"/>
              <w:divBdr>
                <w:top w:val="none" w:sz="0" w:space="0" w:color="auto"/>
                <w:left w:val="none" w:sz="0" w:space="0" w:color="auto"/>
                <w:bottom w:val="none" w:sz="0" w:space="0" w:color="auto"/>
                <w:right w:val="none" w:sz="0" w:space="0" w:color="auto"/>
              </w:divBdr>
              <w:divsChild>
                <w:div w:id="1411805961">
                  <w:marLeft w:val="0"/>
                  <w:marRight w:val="0"/>
                  <w:marTop w:val="0"/>
                  <w:marBottom w:val="0"/>
                  <w:divBdr>
                    <w:top w:val="none" w:sz="0" w:space="0" w:color="auto"/>
                    <w:left w:val="none" w:sz="0" w:space="0" w:color="auto"/>
                    <w:bottom w:val="none" w:sz="0" w:space="0" w:color="auto"/>
                    <w:right w:val="none" w:sz="0" w:space="0" w:color="auto"/>
                  </w:divBdr>
                  <w:divsChild>
                    <w:div w:id="1174219601">
                      <w:marLeft w:val="0"/>
                      <w:marRight w:val="0"/>
                      <w:marTop w:val="0"/>
                      <w:marBottom w:val="0"/>
                      <w:divBdr>
                        <w:top w:val="none" w:sz="0" w:space="0" w:color="auto"/>
                        <w:left w:val="none" w:sz="0" w:space="0" w:color="auto"/>
                        <w:bottom w:val="none" w:sz="0" w:space="0" w:color="auto"/>
                        <w:right w:val="none" w:sz="0" w:space="0" w:color="auto"/>
                      </w:divBdr>
                      <w:divsChild>
                        <w:div w:id="79425771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2063</Words>
  <Characters>11761</Characters>
  <Application>Microsoft Office Word</Application>
  <DocSecurity>0</DocSecurity>
  <Lines>98</Lines>
  <Paragraphs>27</Paragraphs>
  <ScaleCrop>false</ScaleCrop>
  <Company/>
  <LinksUpToDate>false</LinksUpToDate>
  <CharactersWithSpaces>13797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2017-10-12T07:43:00Z</dcterms:created>
  <dcterms:modified xsi:type="dcterms:W3CDTF">2017-10-12T07:43:00Z</dcterms:modified>
</cp:coreProperties>
</file>